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FC6BE" w14:textId="1BB41326" w:rsidR="00060352" w:rsidRDefault="00060352" w:rsidP="00D63ACD">
      <w:pPr>
        <w:tabs>
          <w:tab w:val="left" w:pos="4608"/>
          <w:tab w:val="left" w:pos="9216"/>
        </w:tabs>
        <w:spacing w:after="0" w:line="240" w:lineRule="auto"/>
        <w:jc w:val="center"/>
        <w:rPr>
          <w:rFonts w:cs="Calibri"/>
        </w:rPr>
      </w:pPr>
      <w:r w:rsidRPr="00B91937">
        <w:rPr>
          <w:rFonts w:cs="Calibri"/>
          <w:noProof/>
          <w:lang w:val="bs-Latn-BA" w:eastAsia="bs-Latn-BA"/>
        </w:rPr>
        <w:drawing>
          <wp:inline distT="0" distB="0" distL="0" distR="0" wp14:anchorId="7F1463A2" wp14:editId="4C3F2FAB">
            <wp:extent cx="1447800" cy="533400"/>
            <wp:effectExtent l="0" t="0" r="0" b="0"/>
            <wp:docPr id="2" name="Slika 2" descr="ZnTrigNew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TrigNew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CB8F5" w14:textId="77777777" w:rsidR="000C2602" w:rsidRPr="00B91937" w:rsidRDefault="000C2602" w:rsidP="00D63ACD">
      <w:pPr>
        <w:tabs>
          <w:tab w:val="left" w:pos="4608"/>
          <w:tab w:val="left" w:pos="9216"/>
        </w:tabs>
        <w:spacing w:after="0" w:line="240" w:lineRule="auto"/>
        <w:jc w:val="center"/>
        <w:rPr>
          <w:rFonts w:cs="Calibri"/>
        </w:rPr>
      </w:pPr>
    </w:p>
    <w:p w14:paraId="16E86761" w14:textId="65969EDD" w:rsidR="00060352" w:rsidRPr="00B91937" w:rsidRDefault="00060352" w:rsidP="00D63ACD">
      <w:pPr>
        <w:tabs>
          <w:tab w:val="left" w:pos="4608"/>
          <w:tab w:val="left" w:pos="9216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91937">
        <w:rPr>
          <w:rFonts w:cs="Calibri"/>
        </w:rPr>
        <w:t>S</w:t>
      </w:r>
      <w:r w:rsidR="006F297D">
        <w:rPr>
          <w:rFonts w:cs="Calibri"/>
        </w:rPr>
        <w:t>aopštenje</w:t>
      </w:r>
      <w:r w:rsidRPr="00B91937">
        <w:rPr>
          <w:rFonts w:cs="Calibri"/>
        </w:rPr>
        <w:t xml:space="preserve"> za javnost</w:t>
      </w:r>
    </w:p>
    <w:p w14:paraId="6CD2AD8E" w14:textId="55FF2F4E" w:rsidR="00060352" w:rsidRDefault="00060352" w:rsidP="00D63ACD">
      <w:pPr>
        <w:spacing w:after="0" w:line="240" w:lineRule="auto"/>
        <w:jc w:val="right"/>
      </w:pPr>
      <w:r>
        <w:t xml:space="preserve">Ljubljana, </w:t>
      </w:r>
      <w:r w:rsidR="003173AB">
        <w:t>8</w:t>
      </w:r>
      <w:bookmarkStart w:id="0" w:name="_GoBack"/>
      <w:bookmarkEnd w:id="0"/>
      <w:r w:rsidR="00685DDC">
        <w:t xml:space="preserve">. </w:t>
      </w:r>
      <w:r w:rsidR="006F297D">
        <w:t>mart</w:t>
      </w:r>
      <w:r w:rsidR="00685DDC">
        <w:t xml:space="preserve"> 2023</w:t>
      </w:r>
    </w:p>
    <w:p w14:paraId="1100650C" w14:textId="573145F7" w:rsidR="000C2602" w:rsidRDefault="000C2602" w:rsidP="00D63ACD">
      <w:pPr>
        <w:spacing w:after="0" w:line="240" w:lineRule="auto"/>
        <w:jc w:val="right"/>
      </w:pPr>
    </w:p>
    <w:p w14:paraId="45F13518" w14:textId="40411D98" w:rsidR="001334AA" w:rsidRDefault="006F297D" w:rsidP="001434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</w:t>
      </w:r>
      <w:r w:rsidR="00143491" w:rsidRPr="00143491">
        <w:rPr>
          <w:b/>
          <w:sz w:val="28"/>
          <w:szCs w:val="28"/>
        </w:rPr>
        <w:t xml:space="preserve"> Tri</w:t>
      </w:r>
      <w:r>
        <w:rPr>
          <w:b/>
          <w:sz w:val="28"/>
          <w:szCs w:val="28"/>
        </w:rPr>
        <w:t>glav</w:t>
      </w:r>
      <w:r w:rsidR="00143491" w:rsidRPr="001434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 </w:t>
      </w:r>
      <w:r w:rsidR="00143491" w:rsidRPr="00143491">
        <w:rPr>
          <w:b/>
          <w:sz w:val="28"/>
          <w:szCs w:val="28"/>
        </w:rPr>
        <w:t>2022</w:t>
      </w:r>
      <w:r w:rsidR="00143491">
        <w:rPr>
          <w:rStyle w:val="FootnoteReference"/>
          <w:b/>
          <w:sz w:val="28"/>
          <w:szCs w:val="28"/>
        </w:rPr>
        <w:footnoteReference w:id="1"/>
      </w:r>
      <w:r w:rsidR="00143491" w:rsidRPr="0014349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Jačanje obima poslovanja i profita</w:t>
      </w:r>
    </w:p>
    <w:p w14:paraId="310DC132" w14:textId="56BA457D" w:rsidR="00143491" w:rsidRDefault="006F297D" w:rsidP="00143491">
      <w:pPr>
        <w:spacing w:after="0" w:line="240" w:lineRule="auto"/>
        <w:jc w:val="center"/>
        <w:rPr>
          <w:b/>
          <w:i/>
          <w:iCs/>
        </w:rPr>
      </w:pPr>
      <w:r>
        <w:rPr>
          <w:b/>
          <w:i/>
          <w:iCs/>
        </w:rPr>
        <w:t xml:space="preserve">Dalji koraci u razvoju uravnoteženog i održivog poslovanja </w:t>
      </w:r>
    </w:p>
    <w:p w14:paraId="524B3D5E" w14:textId="77777777" w:rsidR="006F297D" w:rsidRPr="00143491" w:rsidRDefault="006F297D" w:rsidP="006F297D">
      <w:pPr>
        <w:spacing w:after="0" w:line="240" w:lineRule="auto"/>
        <w:rPr>
          <w:b/>
          <w:i/>
          <w:iCs/>
        </w:rPr>
      </w:pPr>
    </w:p>
    <w:p w14:paraId="2B22C1A5" w14:textId="6A2D132D" w:rsidR="006F297D" w:rsidRPr="00F6332E" w:rsidRDefault="006F297D" w:rsidP="00F6332E">
      <w:pPr>
        <w:jc w:val="both"/>
        <w:rPr>
          <w:b/>
          <w:bCs/>
        </w:rPr>
      </w:pPr>
      <w:r w:rsidRPr="00F6332E">
        <w:rPr>
          <w:b/>
          <w:bCs/>
        </w:rPr>
        <w:t xml:space="preserve">Prema nerevidiranim podacima, </w:t>
      </w:r>
      <w:r w:rsidR="00D30AFB">
        <w:rPr>
          <w:b/>
          <w:bCs/>
        </w:rPr>
        <w:t>G</w:t>
      </w:r>
      <w:r w:rsidRPr="00F6332E">
        <w:rPr>
          <w:b/>
          <w:bCs/>
        </w:rPr>
        <w:t>rupa</w:t>
      </w:r>
      <w:r w:rsidR="00D30AFB">
        <w:rPr>
          <w:b/>
          <w:bCs/>
        </w:rPr>
        <w:t xml:space="preserve"> Triglav</w:t>
      </w:r>
      <w:r w:rsidRPr="00F6332E">
        <w:rPr>
          <w:b/>
          <w:bCs/>
        </w:rPr>
        <w:t xml:space="preserve"> je u 2022. godini povećala ukupne prihode za 10</w:t>
      </w:r>
      <w:r w:rsidR="006A21E9">
        <w:rPr>
          <w:b/>
          <w:bCs/>
        </w:rPr>
        <w:t>%</w:t>
      </w:r>
      <w:r w:rsidRPr="00F6332E">
        <w:rPr>
          <w:b/>
          <w:bCs/>
        </w:rPr>
        <w:t xml:space="preserve"> na 1.599,3 miliona eura i ostvarila</w:t>
      </w:r>
      <w:r w:rsidR="006A21E9">
        <w:rPr>
          <w:b/>
          <w:bCs/>
        </w:rPr>
        <w:t xml:space="preserve"> dobit prije oporezivanja od</w:t>
      </w:r>
      <w:r w:rsidRPr="00F6332E">
        <w:rPr>
          <w:b/>
          <w:bCs/>
        </w:rPr>
        <w:t xml:space="preserve"> 134,5 miliona eura</w:t>
      </w:r>
      <w:r w:rsidR="006A21E9">
        <w:rPr>
          <w:b/>
          <w:bCs/>
        </w:rPr>
        <w:t xml:space="preserve">, </w:t>
      </w:r>
      <w:r w:rsidRPr="00F6332E">
        <w:rPr>
          <w:b/>
          <w:bCs/>
        </w:rPr>
        <w:t>što je 1</w:t>
      </w:r>
      <w:r w:rsidR="006A21E9">
        <w:rPr>
          <w:b/>
          <w:bCs/>
        </w:rPr>
        <w:t>%</w:t>
      </w:r>
      <w:r w:rsidRPr="00F6332E">
        <w:rPr>
          <w:b/>
          <w:bCs/>
        </w:rPr>
        <w:t xml:space="preserve"> više </w:t>
      </w:r>
      <w:r w:rsidR="006A21E9">
        <w:rPr>
          <w:b/>
          <w:bCs/>
        </w:rPr>
        <w:t>u odnosu na prethodnu godinu</w:t>
      </w:r>
      <w:r w:rsidRPr="00F6332E">
        <w:rPr>
          <w:b/>
          <w:bCs/>
        </w:rPr>
        <w:t>. Pored uspješnog poslovanja, na planirani rezultat uticala su i odgovarajuća prilagođavanja uticajima životne sredine. Grup</w:t>
      </w:r>
      <w:r w:rsidR="00F6332E" w:rsidRPr="00F6332E">
        <w:rPr>
          <w:b/>
          <w:bCs/>
        </w:rPr>
        <w:t>a</w:t>
      </w:r>
      <w:r w:rsidR="00AC65E1">
        <w:rPr>
          <w:b/>
          <w:bCs/>
        </w:rPr>
        <w:t>,</w:t>
      </w:r>
      <w:r w:rsidR="00F6332E" w:rsidRPr="00F6332E">
        <w:rPr>
          <w:b/>
          <w:bCs/>
        </w:rPr>
        <w:t xml:space="preserve"> </w:t>
      </w:r>
      <w:r w:rsidRPr="00F6332E">
        <w:rPr>
          <w:b/>
          <w:bCs/>
        </w:rPr>
        <w:t>koja je dosljedno sprovodila strateške razvojne aktivnosti i ostvari</w:t>
      </w:r>
      <w:r w:rsidR="00F6332E" w:rsidRPr="00F6332E">
        <w:rPr>
          <w:b/>
          <w:bCs/>
        </w:rPr>
        <w:t xml:space="preserve">la svoje </w:t>
      </w:r>
      <w:r w:rsidRPr="00F6332E">
        <w:rPr>
          <w:b/>
          <w:bCs/>
        </w:rPr>
        <w:t xml:space="preserve">održive ambicije, ostaje finansijski jaka sa visokom </w:t>
      </w:r>
      <w:r w:rsidR="00F6332E" w:rsidRPr="00F6332E">
        <w:rPr>
          <w:b/>
          <w:bCs/>
        </w:rPr>
        <w:t xml:space="preserve">adekvatnošću </w:t>
      </w:r>
      <w:r w:rsidRPr="00F6332E">
        <w:rPr>
          <w:b/>
          <w:bCs/>
        </w:rPr>
        <w:t>kapita</w:t>
      </w:r>
      <w:r w:rsidR="00F6332E" w:rsidRPr="00F6332E">
        <w:rPr>
          <w:b/>
          <w:bCs/>
        </w:rPr>
        <w:t>la,</w:t>
      </w:r>
      <w:r w:rsidRPr="00F6332E">
        <w:rPr>
          <w:b/>
          <w:bCs/>
        </w:rPr>
        <w:t xml:space="preserve"> koj</w:t>
      </w:r>
      <w:r w:rsidR="00AC65E1">
        <w:rPr>
          <w:b/>
          <w:bCs/>
        </w:rPr>
        <w:t>a</w:t>
      </w:r>
      <w:r w:rsidRPr="00F6332E">
        <w:rPr>
          <w:b/>
          <w:bCs/>
        </w:rPr>
        <w:t xml:space="preserve"> se na kraju godine </w:t>
      </w:r>
      <w:r w:rsidR="00F6332E" w:rsidRPr="00F6332E">
        <w:rPr>
          <w:b/>
          <w:bCs/>
        </w:rPr>
        <w:t>kret</w:t>
      </w:r>
      <w:r w:rsidR="00AC65E1">
        <w:rPr>
          <w:b/>
          <w:bCs/>
        </w:rPr>
        <w:t>ala</w:t>
      </w:r>
      <w:r w:rsidR="00F6332E" w:rsidRPr="00F6332E">
        <w:rPr>
          <w:b/>
          <w:bCs/>
        </w:rPr>
        <w:t xml:space="preserve"> oko donje granice </w:t>
      </w:r>
      <w:r w:rsidRPr="00F6332E">
        <w:rPr>
          <w:b/>
          <w:bCs/>
        </w:rPr>
        <w:t>cilj</w:t>
      </w:r>
      <w:r w:rsidR="00AC65E1">
        <w:rPr>
          <w:b/>
          <w:bCs/>
        </w:rPr>
        <w:t>a</w:t>
      </w:r>
      <w:r w:rsidRPr="00F6332E">
        <w:rPr>
          <w:b/>
          <w:bCs/>
        </w:rPr>
        <w:t xml:space="preserve">nog </w:t>
      </w:r>
      <w:r w:rsidR="00F6332E" w:rsidRPr="00F6332E">
        <w:rPr>
          <w:b/>
          <w:bCs/>
        </w:rPr>
        <w:t>raspona</w:t>
      </w:r>
      <w:r w:rsidRPr="00F6332E">
        <w:rPr>
          <w:b/>
          <w:bCs/>
        </w:rPr>
        <w:t xml:space="preserve">. </w:t>
      </w:r>
      <w:r w:rsidR="00F6332E" w:rsidRPr="00F6332E">
        <w:rPr>
          <w:b/>
          <w:bCs/>
        </w:rPr>
        <w:t xml:space="preserve">Dvije renomirane  bonitetne agencije ponovo su </w:t>
      </w:r>
      <w:r w:rsidR="00D30AFB">
        <w:rPr>
          <w:b/>
          <w:bCs/>
        </w:rPr>
        <w:t>Grupi Triglav</w:t>
      </w:r>
      <w:r w:rsidR="00F6332E" w:rsidRPr="00F6332E">
        <w:rPr>
          <w:b/>
          <w:bCs/>
        </w:rPr>
        <w:t xml:space="preserve"> dodijelile visoku kreditnu ocjenu »A«  u 2022. godini, sa stabilnim srednjoročnim izgledima.</w:t>
      </w:r>
      <w:r w:rsidRPr="00F6332E">
        <w:rPr>
          <w:b/>
          <w:bCs/>
        </w:rPr>
        <w:t xml:space="preserve"> Izm</w:t>
      </w:r>
      <w:r w:rsidR="00F6332E" w:rsidRPr="00F6332E">
        <w:rPr>
          <w:b/>
          <w:bCs/>
        </w:rPr>
        <w:t>j</w:t>
      </w:r>
      <w:r w:rsidRPr="00F6332E">
        <w:rPr>
          <w:b/>
          <w:bCs/>
        </w:rPr>
        <w:t>ereni nivoi zadovoljstva kupaca i zaposlenih ponovo su dostigli visok nivo.</w:t>
      </w:r>
    </w:p>
    <w:p w14:paraId="09A4B8BA" w14:textId="77777777" w:rsidR="000F2278" w:rsidRDefault="00232EF8" w:rsidP="00232EF8">
      <w:pPr>
        <w:jc w:val="both"/>
      </w:pPr>
      <w:r w:rsidRPr="003C1C24">
        <w:rPr>
          <w:b/>
          <w:bCs/>
        </w:rPr>
        <w:t>DOBIT PRIJE OPOREZIVANJA</w:t>
      </w:r>
    </w:p>
    <w:p w14:paraId="500AC141" w14:textId="111C24BC" w:rsidR="00D30AFB" w:rsidRPr="00232EF8" w:rsidRDefault="00232EF8" w:rsidP="00232EF8">
      <w:pPr>
        <w:jc w:val="both"/>
        <w:rPr>
          <w:i/>
          <w:iCs/>
        </w:rPr>
      </w:pPr>
      <w:r w:rsidRPr="008562B3">
        <w:t xml:space="preserve">Grupa Triglav </w:t>
      </w:r>
      <w:r w:rsidR="001D547E">
        <w:t xml:space="preserve">je ostvarila </w:t>
      </w:r>
      <w:r w:rsidRPr="008562B3">
        <w:t>134,5 miliona e</w:t>
      </w:r>
      <w:r>
        <w:t>u</w:t>
      </w:r>
      <w:r w:rsidRPr="008562B3">
        <w:t>ra dobiti pr</w:t>
      </w:r>
      <w:r>
        <w:t>ij</w:t>
      </w:r>
      <w:r w:rsidRPr="008562B3">
        <w:t>e oporezivanja u 2022. godini, što je 1</w:t>
      </w:r>
      <w:r w:rsidR="001052D2">
        <w:t>%</w:t>
      </w:r>
      <w:r w:rsidRPr="008562B3">
        <w:t xml:space="preserve"> više u odnosu na prethodnu godinu i iznad plana. </w:t>
      </w:r>
      <w:r w:rsidRPr="00232EF8">
        <w:rPr>
          <w:b/>
          <w:bCs/>
        </w:rPr>
        <w:t>Andrej Slapar, predsjednik Uprave Zavarovalnice Triglav</w:t>
      </w:r>
      <w:r>
        <w:t>,</w:t>
      </w:r>
      <w:r w:rsidRPr="008562B3">
        <w:t xml:space="preserve"> </w:t>
      </w:r>
      <w:r>
        <w:t>izjavio</w:t>
      </w:r>
      <w:r w:rsidRPr="008562B3">
        <w:t xml:space="preserve"> je: </w:t>
      </w:r>
      <w:r w:rsidR="00AC65E1">
        <w:t>»</w:t>
      </w:r>
      <w:r w:rsidRPr="00232EF8">
        <w:rPr>
          <w:i/>
          <w:iCs/>
        </w:rPr>
        <w:t>Prošle godine napravili smo važne razvojne iskorake i ostvarili dobre rezultate u zahtjevnom poslovnom okruženju, koji potvrđuju kako robusnost našeg poslovnog model</w:t>
      </w:r>
      <w:r>
        <w:rPr>
          <w:i/>
          <w:iCs/>
        </w:rPr>
        <w:t>a</w:t>
      </w:r>
      <w:r w:rsidRPr="00232EF8">
        <w:rPr>
          <w:i/>
          <w:iCs/>
        </w:rPr>
        <w:t xml:space="preserve">, tako i fleksibilnost i uspješnost naše strategije. Na temelju toga uspjeli smo se adekvatno prilagoditi promjenama u poslovnom okruženju, posebno rastućoj inflaciji </w:t>
      </w:r>
      <w:r>
        <w:rPr>
          <w:i/>
          <w:iCs/>
        </w:rPr>
        <w:t>i</w:t>
      </w:r>
      <w:r w:rsidRPr="00232EF8">
        <w:rPr>
          <w:i/>
          <w:iCs/>
        </w:rPr>
        <w:t xml:space="preserve"> nepovoljnoj situaciji na finansijskim tržištima</w:t>
      </w:r>
      <w:r w:rsidR="00AC65E1">
        <w:rPr>
          <w:i/>
          <w:iCs/>
        </w:rPr>
        <w:t>«</w:t>
      </w:r>
      <w:r w:rsidRPr="00232EF8">
        <w:rPr>
          <w:i/>
          <w:iCs/>
        </w:rPr>
        <w:t xml:space="preserve">.  </w:t>
      </w:r>
    </w:p>
    <w:p w14:paraId="49A7A797" w14:textId="77777777" w:rsidR="000F2278" w:rsidRDefault="00D30AFB" w:rsidP="00D30AFB">
      <w:pPr>
        <w:jc w:val="both"/>
      </w:pPr>
      <w:r w:rsidRPr="00D30AFB">
        <w:rPr>
          <w:b/>
          <w:bCs/>
        </w:rPr>
        <w:t>OSIGURAVAJUĆE-TEHNIČKI DIO POSLOVANJA</w:t>
      </w:r>
    </w:p>
    <w:p w14:paraId="793D2205" w14:textId="0739A626" w:rsidR="00D30AFB" w:rsidRPr="00D30AFB" w:rsidRDefault="00D30AFB" w:rsidP="00D30AFB">
      <w:pPr>
        <w:jc w:val="both"/>
      </w:pPr>
      <w:r w:rsidRPr="003C1C24">
        <w:t xml:space="preserve">Ukupni prihodi </w:t>
      </w:r>
      <w:r>
        <w:t xml:space="preserve">Grupe </w:t>
      </w:r>
      <w:r w:rsidRPr="003C1C24">
        <w:t>Triglav povećani su za 10</w:t>
      </w:r>
      <w:r w:rsidR="001052D2">
        <w:t>%</w:t>
      </w:r>
      <w:r w:rsidRPr="003C1C24">
        <w:t xml:space="preserve"> na 1.599,3 miliona e</w:t>
      </w:r>
      <w:r>
        <w:t>u</w:t>
      </w:r>
      <w:r w:rsidRPr="003C1C24">
        <w:t>ra, od čega je bruto premija osiguranja 1.479,6 miliona e</w:t>
      </w:r>
      <w:r>
        <w:t>u</w:t>
      </w:r>
      <w:r w:rsidRPr="003C1C24">
        <w:t>ra (9</w:t>
      </w:r>
      <w:r w:rsidR="001052D2">
        <w:t>%</w:t>
      </w:r>
      <w:r w:rsidRPr="003C1C24">
        <w:t xml:space="preserve"> više nego 2021. godine). </w:t>
      </w:r>
      <w:r w:rsidR="00AC65E1">
        <w:t>R</w:t>
      </w:r>
      <w:r w:rsidRPr="003C1C24">
        <w:t>ast premije</w:t>
      </w:r>
      <w:r w:rsidR="00AC65E1">
        <w:t xml:space="preserve"> zabilježen je</w:t>
      </w:r>
      <w:r w:rsidRPr="003C1C24">
        <w:t xml:space="preserve"> u sva tri segmenta osiguranja i na svim tržištima. Premija </w:t>
      </w:r>
      <w:r w:rsidR="00AC65E1">
        <w:t xml:space="preserve">neživotnog </w:t>
      </w:r>
      <w:r w:rsidRPr="003C1C24">
        <w:t xml:space="preserve">osiguranja </w:t>
      </w:r>
      <w:r w:rsidR="00AC65E1">
        <w:t>p</w:t>
      </w:r>
      <w:r w:rsidR="008325F4">
        <w:t>ovećana</w:t>
      </w:r>
      <w:r w:rsidRPr="003C1C24">
        <w:t xml:space="preserve"> je za 12</w:t>
      </w:r>
      <w:r w:rsidR="001052D2">
        <w:t>%</w:t>
      </w:r>
      <w:r w:rsidRPr="003C1C24">
        <w:t xml:space="preserve">, </w:t>
      </w:r>
      <w:r w:rsidR="00AC65E1">
        <w:t xml:space="preserve">premija </w:t>
      </w:r>
      <w:r w:rsidRPr="003C1C24">
        <w:t>životno</w:t>
      </w:r>
      <w:r w:rsidR="00AC65E1">
        <w:t>g</w:t>
      </w:r>
      <w:r w:rsidRPr="003C1C24">
        <w:t xml:space="preserve"> i pen</w:t>
      </w:r>
      <w:r>
        <w:t>zi</w:t>
      </w:r>
      <w:r w:rsidR="00AC65E1">
        <w:t>jskog</w:t>
      </w:r>
      <w:r w:rsidRPr="003C1C24">
        <w:t xml:space="preserve"> osiguranje za 6</w:t>
      </w:r>
      <w:r w:rsidR="001052D2">
        <w:t>%</w:t>
      </w:r>
      <w:r w:rsidRPr="003C1C24">
        <w:t xml:space="preserve">, </w:t>
      </w:r>
      <w:r w:rsidR="00AC65E1">
        <w:t xml:space="preserve">a premija </w:t>
      </w:r>
      <w:r w:rsidRPr="003C1C24">
        <w:t>zdravstveno</w:t>
      </w:r>
      <w:r w:rsidR="00AC65E1">
        <w:t>g</w:t>
      </w:r>
      <w:r w:rsidRPr="003C1C24">
        <w:t xml:space="preserve"> osiguranje za 3</w:t>
      </w:r>
      <w:r w:rsidR="001052D2">
        <w:t>%</w:t>
      </w:r>
      <w:r w:rsidRPr="003C1C24">
        <w:t>. U Sloveniji je</w:t>
      </w:r>
      <w:r>
        <w:t xml:space="preserve"> </w:t>
      </w:r>
      <w:r w:rsidRPr="003C1C24">
        <w:t>dosti</w:t>
      </w:r>
      <w:r w:rsidR="00AC65E1">
        <w:t>gla</w:t>
      </w:r>
      <w:r w:rsidRPr="003C1C24">
        <w:t xml:space="preserve"> 7</w:t>
      </w:r>
      <w:r w:rsidR="001052D2">
        <w:t>%</w:t>
      </w:r>
      <w:r w:rsidRPr="003C1C24">
        <w:t xml:space="preserve"> i bi</w:t>
      </w:r>
      <w:r w:rsidR="00AC65E1">
        <w:t>la</w:t>
      </w:r>
      <w:r w:rsidRPr="003C1C24">
        <w:t xml:space="preserve"> je u skladu sa tržišnim trendovima, dok je na ostalim tržištima Adria regiona iznos</w:t>
      </w:r>
      <w:r w:rsidR="00AC65E1">
        <w:t>ila</w:t>
      </w:r>
      <w:r w:rsidRPr="003C1C24">
        <w:t xml:space="preserve"> 12</w:t>
      </w:r>
      <w:r w:rsidR="001052D2">
        <w:t>%</w:t>
      </w:r>
      <w:r w:rsidRPr="003C1C24">
        <w:t>. Na međunarodnom tržištu rast premije iznosio je 1</w:t>
      </w:r>
      <w:r>
        <w:t>7</w:t>
      </w:r>
      <w:r w:rsidR="001052D2">
        <w:t>%</w:t>
      </w:r>
      <w:r w:rsidRPr="003C1C24">
        <w:t xml:space="preserve"> i obuhvata rast premije naplaćene po principu slobodnog protoka usluga, kao i premije iz aktivnog poslovanja reosiguranja. Ostali prihodi od osiguranja (59,9 miliona evra) povećani su za 23</w:t>
      </w:r>
      <w:r w:rsidR="001052D2">
        <w:t>%</w:t>
      </w:r>
      <w:r w:rsidRPr="003C1C24">
        <w:t>, dok su ostali prihodi Grupe (59,8 miliona e</w:t>
      </w:r>
      <w:r>
        <w:t>u</w:t>
      </w:r>
      <w:r w:rsidRPr="003C1C24">
        <w:t>ra) povećani za 12</w:t>
      </w:r>
      <w:r w:rsidR="001052D2">
        <w:t>%</w:t>
      </w:r>
      <w:r w:rsidRPr="003C1C24">
        <w:t>, uglavnom prihodi od upravljanja imovinom i prodaje investicionih nekretnina.</w:t>
      </w:r>
    </w:p>
    <w:p w14:paraId="0F7D88DC" w14:textId="2CE87086" w:rsidR="00D42922" w:rsidRPr="00F1376F" w:rsidRDefault="00D42922" w:rsidP="00D42922">
      <w:pPr>
        <w:jc w:val="both"/>
      </w:pPr>
      <w:r>
        <w:t xml:space="preserve">Bruto likvidirane </w:t>
      </w:r>
      <w:r w:rsidRPr="00F1376F">
        <w:t>štete p</w:t>
      </w:r>
      <w:r w:rsidR="008325F4">
        <w:t>ovećane</w:t>
      </w:r>
      <w:r>
        <w:t xml:space="preserve"> su</w:t>
      </w:r>
      <w:r w:rsidRPr="00F1376F">
        <w:t xml:space="preserve"> za 13</w:t>
      </w:r>
      <w:r>
        <w:t>%</w:t>
      </w:r>
      <w:r w:rsidRPr="00F1376F">
        <w:t xml:space="preserve"> na 832,2 miliona e</w:t>
      </w:r>
      <w:r>
        <w:t>u</w:t>
      </w:r>
      <w:r w:rsidRPr="00F1376F">
        <w:t xml:space="preserve">ra. </w:t>
      </w:r>
      <w:r>
        <w:t xml:space="preserve">Tome su </w:t>
      </w:r>
      <w:r w:rsidR="008325F4">
        <w:t>doprinijeli</w:t>
      </w:r>
      <w:r>
        <w:t xml:space="preserve"> i veliki </w:t>
      </w:r>
      <w:r w:rsidR="001D547E">
        <w:t>prirodni štetni događaji</w:t>
      </w:r>
      <w:r w:rsidRPr="00F1376F">
        <w:t xml:space="preserve"> u proc</w:t>
      </w:r>
      <w:r>
        <w:t>ijenjenoj vrijednosti</w:t>
      </w:r>
      <w:r w:rsidRPr="00F1376F">
        <w:t xml:space="preserve"> od 32,1 milion e</w:t>
      </w:r>
      <w:r w:rsidR="008325F4">
        <w:t>u</w:t>
      </w:r>
      <w:r w:rsidRPr="00F1376F">
        <w:t>ra, što</w:t>
      </w:r>
      <w:r>
        <w:t xml:space="preserve"> je više od 20% od petogodišnjeg prosjeka.</w:t>
      </w:r>
      <w:r w:rsidRPr="00F1376F">
        <w:t xml:space="preserve"> Kombinovani k</w:t>
      </w:r>
      <w:r w:rsidR="008325F4">
        <w:t>oličnik</w:t>
      </w:r>
      <w:r w:rsidRPr="00F1376F">
        <w:t xml:space="preserve"> Grupe </w:t>
      </w:r>
      <w:r>
        <w:t>bio je povoljan i iznosio</w:t>
      </w:r>
      <w:r w:rsidRPr="00F1376F">
        <w:t xml:space="preserve"> 88,1</w:t>
      </w:r>
      <w:r>
        <w:t>%</w:t>
      </w:r>
      <w:r w:rsidRPr="00F1376F">
        <w:t xml:space="preserve">, </w:t>
      </w:r>
      <w:r>
        <w:t>prvenstveno kao rezultat poboljšanja o</w:t>
      </w:r>
      <w:r w:rsidR="008325F4">
        <w:t>bima</w:t>
      </w:r>
      <w:r>
        <w:t xml:space="preserve"> šteta zbog djelimičnog oslobađanja rezervacije šteta. </w:t>
      </w:r>
      <w:r w:rsidRPr="00F1376F">
        <w:t xml:space="preserve">Zbog </w:t>
      </w:r>
      <w:r>
        <w:t xml:space="preserve">inflatornih </w:t>
      </w:r>
      <w:r w:rsidRPr="00F1376F">
        <w:t xml:space="preserve">pritisaka, povećanog obima poslovanja </w:t>
      </w:r>
      <w:r>
        <w:t xml:space="preserve">te </w:t>
      </w:r>
      <w:r w:rsidRPr="00F1376F">
        <w:t xml:space="preserve">ulaganja u digitalizaciju i druge razvojne aktivnosti, bruto operativni </w:t>
      </w:r>
      <w:r w:rsidRPr="00F1376F">
        <w:lastRenderedPageBreak/>
        <w:t xml:space="preserve">troškovi </w:t>
      </w:r>
      <w:r w:rsidR="008325F4">
        <w:t>p</w:t>
      </w:r>
      <w:r>
        <w:t>oslovanja Grupe</w:t>
      </w:r>
      <w:r w:rsidRPr="00F1376F">
        <w:t xml:space="preserve"> p</w:t>
      </w:r>
      <w:r w:rsidR="008325F4">
        <w:t>ovećani</w:t>
      </w:r>
      <w:r w:rsidRPr="00F1376F">
        <w:t xml:space="preserve"> su za 12</w:t>
      </w:r>
      <w:r>
        <w:t>%</w:t>
      </w:r>
      <w:r w:rsidRPr="00F1376F">
        <w:t xml:space="preserve"> (374,9 miliona e</w:t>
      </w:r>
      <w:r>
        <w:t>u</w:t>
      </w:r>
      <w:r w:rsidRPr="00F1376F">
        <w:t xml:space="preserve">ra). </w:t>
      </w:r>
      <w:r w:rsidRPr="00D42922">
        <w:rPr>
          <w:b/>
          <w:bCs/>
        </w:rPr>
        <w:t>Uroš Ivanc,</w:t>
      </w:r>
      <w:r w:rsidR="00B52152">
        <w:rPr>
          <w:b/>
          <w:bCs/>
        </w:rPr>
        <w:t xml:space="preserve"> </w:t>
      </w:r>
      <w:r w:rsidRPr="00D42922">
        <w:rPr>
          <w:b/>
          <w:bCs/>
        </w:rPr>
        <w:t>član Uprave Zavarovalnice Triglav,</w:t>
      </w:r>
      <w:r w:rsidRPr="00F1376F">
        <w:t xml:space="preserve"> </w:t>
      </w:r>
      <w:r>
        <w:t>izjavio</w:t>
      </w:r>
      <w:r w:rsidRPr="00F1376F">
        <w:t xml:space="preserve"> je: </w:t>
      </w:r>
      <w:r w:rsidR="000F2278">
        <w:t>»</w:t>
      </w:r>
      <w:r w:rsidRPr="00D42922">
        <w:rPr>
          <w:i/>
          <w:iCs/>
        </w:rPr>
        <w:t>Povećani obim poslovanja i d</w:t>
      </w:r>
      <w:r w:rsidR="001D547E">
        <w:rPr>
          <w:i/>
          <w:iCs/>
        </w:rPr>
        <w:t>j</w:t>
      </w:r>
      <w:r w:rsidRPr="00D42922">
        <w:rPr>
          <w:i/>
          <w:iCs/>
        </w:rPr>
        <w:t>elimično oslobađanje rezervi za štete formiranih prethodnih godina uspješno su nadoknadili veća potraživanja i troškove poslovanja zbog veće aktivnosti stanovništva i privrede, rastuće  inflacije i drugih uticaja životne sredine. Prilikom proc</w:t>
      </w:r>
      <w:r w:rsidR="008325F4">
        <w:rPr>
          <w:i/>
          <w:iCs/>
        </w:rPr>
        <w:t>j</w:t>
      </w:r>
      <w:r w:rsidRPr="00D42922">
        <w:rPr>
          <w:i/>
          <w:iCs/>
        </w:rPr>
        <w:t>ene rezervacije šteta, pratili smo trendove najbolje procjene uvedene računovodstvenim standardom MSFI 17, čime se njihov iznos približio procijenjenoj vrijednosti prema MSFI 17</w:t>
      </w:r>
      <w:r w:rsidRPr="00F1376F">
        <w:t>.</w:t>
      </w:r>
      <w:r w:rsidR="000F2278">
        <w:t>«</w:t>
      </w:r>
    </w:p>
    <w:p w14:paraId="7E5C66EA" w14:textId="77777777" w:rsidR="000F2278" w:rsidRDefault="00B6565D" w:rsidP="00BE47DD">
      <w:r w:rsidRPr="00B6565D">
        <w:rPr>
          <w:b/>
          <w:bCs/>
        </w:rPr>
        <w:t>FINANSIJSKI POLOŽAJ</w:t>
      </w:r>
    </w:p>
    <w:p w14:paraId="2E5FEA9D" w14:textId="62221DB6" w:rsidR="00BE47DD" w:rsidRDefault="001052D2" w:rsidP="00534405">
      <w:pPr>
        <w:jc w:val="both"/>
      </w:pPr>
      <w:r w:rsidRPr="0050638B">
        <w:t>Posl</w:t>
      </w:r>
      <w:r w:rsidR="001D547E">
        <w:t>j</w:t>
      </w:r>
      <w:r w:rsidRPr="0050638B">
        <w:t xml:space="preserve">ednjeg dana 2022. godine bilansna suma </w:t>
      </w:r>
      <w:r w:rsidR="001D547E">
        <w:t>Grupe Triglav</w:t>
      </w:r>
      <w:r w:rsidRPr="0050638B">
        <w:t xml:space="preserve"> dostigla je 4,1 milijardu e</w:t>
      </w:r>
      <w:r w:rsidR="008325F4">
        <w:t>u</w:t>
      </w:r>
      <w:r w:rsidRPr="0050638B">
        <w:t>ra (indeks 94), ukupna vr</w:t>
      </w:r>
      <w:r w:rsidR="00AA4827">
        <w:t>ij</w:t>
      </w:r>
      <w:r w:rsidRPr="0050638B">
        <w:t>ednost kapitala iznosila je 752,8 miliona (indeks 81), a bruto tehničke rezerve su dostigle 3.100,0 miliona e</w:t>
      </w:r>
      <w:r w:rsidR="00AA4827">
        <w:t>u</w:t>
      </w:r>
      <w:r w:rsidRPr="0050638B">
        <w:t xml:space="preserve">ra (indeks 97). </w:t>
      </w:r>
      <w:r w:rsidR="00534405" w:rsidRPr="00534405">
        <w:rPr>
          <w:b/>
          <w:bCs/>
        </w:rPr>
        <w:t>Andrej Slapar, p</w:t>
      </w:r>
      <w:r w:rsidRPr="00534405">
        <w:rPr>
          <w:b/>
          <w:bCs/>
        </w:rPr>
        <w:t>reds</w:t>
      </w:r>
      <w:r w:rsidR="001D547E">
        <w:rPr>
          <w:b/>
          <w:bCs/>
        </w:rPr>
        <w:t>j</w:t>
      </w:r>
      <w:r w:rsidRPr="00534405">
        <w:rPr>
          <w:b/>
          <w:bCs/>
        </w:rPr>
        <w:t xml:space="preserve">ednik </w:t>
      </w:r>
      <w:r w:rsidR="00AA4827" w:rsidRPr="00534405">
        <w:rPr>
          <w:b/>
          <w:bCs/>
        </w:rPr>
        <w:t>Uprave</w:t>
      </w:r>
      <w:r w:rsidR="00534405" w:rsidRPr="00534405">
        <w:rPr>
          <w:b/>
          <w:bCs/>
        </w:rPr>
        <w:t xml:space="preserve"> Zavarovalnice Triglav</w:t>
      </w:r>
      <w:r w:rsidR="00534405">
        <w:rPr>
          <w:b/>
          <w:bCs/>
        </w:rPr>
        <w:t>,</w:t>
      </w:r>
      <w:r w:rsidR="00AA4827" w:rsidRPr="00AA4827">
        <w:rPr>
          <w:b/>
          <w:bCs/>
        </w:rPr>
        <w:t xml:space="preserve"> </w:t>
      </w:r>
      <w:r w:rsidR="00AA4827">
        <w:t>izjavio</w:t>
      </w:r>
      <w:r w:rsidR="00534405">
        <w:t xml:space="preserve"> je</w:t>
      </w:r>
      <w:r w:rsidRPr="0050638B">
        <w:t xml:space="preserve">: </w:t>
      </w:r>
      <w:r w:rsidR="000F2278">
        <w:t>»</w:t>
      </w:r>
      <w:r w:rsidR="00AA4827" w:rsidRPr="00B6565D">
        <w:rPr>
          <w:i/>
          <w:iCs/>
        </w:rPr>
        <w:t>Grupa Triglav</w:t>
      </w:r>
      <w:r w:rsidRPr="00B6565D">
        <w:rPr>
          <w:i/>
          <w:iCs/>
        </w:rPr>
        <w:t xml:space="preserve"> je i dalje finansijski jaka, ali je na njenu finansijsku poziciju u 2022. godini značajno uticala situacija na finansijskim tržištima, povećana inflacija i veće isplate dividendi. Uprkos povećanom obimu rizika, adekvatnost kapitala Grupe je na kraju godine bila visoka i nalazila se oko donje ivice ciljnog </w:t>
      </w:r>
      <w:r w:rsidR="00B6565D" w:rsidRPr="00B6565D">
        <w:rPr>
          <w:i/>
          <w:iCs/>
        </w:rPr>
        <w:t>obima</w:t>
      </w:r>
      <w:r w:rsidRPr="00B6565D">
        <w:rPr>
          <w:i/>
          <w:iCs/>
        </w:rPr>
        <w:t xml:space="preserve"> koji smo sebi zadali</w:t>
      </w:r>
      <w:r w:rsidRPr="0050638B">
        <w:t>.</w:t>
      </w:r>
      <w:r w:rsidR="000F2278">
        <w:t>«</w:t>
      </w:r>
    </w:p>
    <w:p w14:paraId="64C5F656" w14:textId="77777777" w:rsidR="000F2278" w:rsidRDefault="00BE47DD" w:rsidP="00BE47DD">
      <w:pPr>
        <w:jc w:val="both"/>
        <w:rPr>
          <w:rFonts w:ascii="Calibri" w:eastAsia="Calibri" w:hAnsi="Calibri" w:cs="Times New Roman"/>
          <w:b/>
          <w:iCs/>
        </w:rPr>
      </w:pPr>
      <w:r>
        <w:rPr>
          <w:rFonts w:ascii="Calibri" w:eastAsia="Calibri" w:hAnsi="Calibri" w:cs="Times New Roman"/>
          <w:b/>
          <w:iCs/>
        </w:rPr>
        <w:t>INVESTICIONI PORTFELJ I IMOVINA POD UPRAVLJANJEM</w:t>
      </w:r>
    </w:p>
    <w:p w14:paraId="22D56DD0" w14:textId="7C06EDBE" w:rsidR="00BE47DD" w:rsidRPr="00607BA5" w:rsidRDefault="00BE47DD" w:rsidP="00BE47DD">
      <w:pPr>
        <w:jc w:val="both"/>
      </w:pPr>
      <w:r w:rsidRPr="00607BA5">
        <w:t>Povećanje kamatnih stopa i pad c</w:t>
      </w:r>
      <w:r>
        <w:t>ij</w:t>
      </w:r>
      <w:r w:rsidRPr="00607BA5">
        <w:t xml:space="preserve">ena </w:t>
      </w:r>
      <w:r w:rsidR="001D547E">
        <w:t>dionica</w:t>
      </w:r>
      <w:r w:rsidRPr="00607BA5">
        <w:t xml:space="preserve"> na finansijskim tržištima odrazio se na smanjenje obima investicionog portfelja za 11%, koji je na kraju godine dostigao 3.271,2 miliona e</w:t>
      </w:r>
      <w:r>
        <w:t>u</w:t>
      </w:r>
      <w:r w:rsidRPr="00607BA5">
        <w:t>ra. Njeni prinosi su bili negativni (-15,7 miliona e</w:t>
      </w:r>
      <w:r>
        <w:t>u</w:t>
      </w:r>
      <w:r w:rsidRPr="00607BA5">
        <w:t>ra). U upravljanju investicionim portfeljima nam</w:t>
      </w:r>
      <w:r>
        <w:t>ij</w:t>
      </w:r>
      <w:r w:rsidRPr="00607BA5">
        <w:t>enjenim za pokriće obaveza iz osiguranja, dosl</w:t>
      </w:r>
      <w:r>
        <w:t>j</w:t>
      </w:r>
      <w:r w:rsidRPr="00607BA5">
        <w:t xml:space="preserve">edno smo pratili usaglašenost obaveza kako po visini, tako </w:t>
      </w:r>
      <w:r w:rsidR="00D75F69">
        <w:t>i</w:t>
      </w:r>
      <w:r>
        <w:t xml:space="preserve"> </w:t>
      </w:r>
      <w:r w:rsidRPr="00607BA5">
        <w:t>u ročnosti i valuti sredstava, čime smo dodatno ograničili negativne efekte viših kamatnih stopa. U skladu sa investicionim politikama, konzervativni sastav i kvalitet investicionog portf</w:t>
      </w:r>
      <w:r w:rsidR="008325F4">
        <w:t>elja</w:t>
      </w:r>
      <w:r w:rsidRPr="00607BA5">
        <w:t xml:space="preserve"> nije se značajno prom</w:t>
      </w:r>
      <w:r>
        <w:t>ij</w:t>
      </w:r>
      <w:r w:rsidRPr="00607BA5">
        <w:t>enio. Najveći, 82,8% ud</w:t>
      </w:r>
      <w:r w:rsidR="00D75F69">
        <w:t>io</w:t>
      </w:r>
      <w:r w:rsidRPr="00607BA5">
        <w:t xml:space="preserve"> u port</w:t>
      </w:r>
      <w:r w:rsidR="00D75F69">
        <w:t>felju</w:t>
      </w:r>
      <w:r w:rsidRPr="00607BA5">
        <w:t xml:space="preserve"> (bez ulaganja u korist životnih osiguranika koji preuzimaju rizik ulaganja) predstavljaju obveznice na razvijenim tržištima i sa pretežno visokim kreditnim rejtingom. Najveći d</w:t>
      </w:r>
      <w:r>
        <w:t>i</w:t>
      </w:r>
      <w:r w:rsidRPr="00607BA5">
        <w:t xml:space="preserve">o ulaganja u korist životnih osiguranika, koji preuzimaju rizik ulaganja, predstavljaju sredstva uložena u zajedničke fondove po izboru osiguranika, uglavnom u fondove kojima upravlja </w:t>
      </w:r>
      <w:r>
        <w:t>Grupa Triglav.</w:t>
      </w:r>
      <w:r w:rsidRPr="00607BA5">
        <w:t xml:space="preserve"> Oni su u 2022. zab</w:t>
      </w:r>
      <w:r>
        <w:t>ilje</w:t>
      </w:r>
      <w:r w:rsidRPr="00607BA5">
        <w:t>žili neto prilive, ali je zbog sniženih kurseva na finansijskim tržištima aktiva smanjena za 10</w:t>
      </w:r>
      <w:r>
        <w:t>%</w:t>
      </w:r>
      <w:r w:rsidRPr="00607BA5">
        <w:t xml:space="preserve"> na 1.389,5 miliona e</w:t>
      </w:r>
      <w:r>
        <w:t>u</w:t>
      </w:r>
      <w:r w:rsidRPr="00607BA5">
        <w:t>ra. Sa tržišnim ud</w:t>
      </w:r>
      <w:r>
        <w:t>j</w:t>
      </w:r>
      <w:r w:rsidRPr="00607BA5">
        <w:t xml:space="preserve">elom od 31,3%, Grupa Triglav je jedan od vodećih </w:t>
      </w:r>
      <w:r>
        <w:t>upravljača</w:t>
      </w:r>
      <w:r w:rsidRPr="00607BA5">
        <w:t xml:space="preserve"> imovine u </w:t>
      </w:r>
      <w:r>
        <w:t>investicijskim</w:t>
      </w:r>
      <w:r w:rsidRPr="00607BA5">
        <w:t xml:space="preserve"> fondovima u Sloveniji.</w:t>
      </w:r>
    </w:p>
    <w:p w14:paraId="2B01E5E1" w14:textId="77777777" w:rsidR="000F2278" w:rsidRDefault="006A21E9" w:rsidP="008325F4">
      <w:pPr>
        <w:jc w:val="both"/>
        <w:rPr>
          <w:rFonts w:ascii="Calibri" w:eastAsia="Calibri" w:hAnsi="Calibri" w:cs="Times New Roman"/>
          <w:b/>
          <w:iCs/>
        </w:rPr>
      </w:pPr>
      <w:r>
        <w:rPr>
          <w:rFonts w:ascii="Calibri" w:eastAsia="Calibri" w:hAnsi="Calibri" w:cs="Times New Roman"/>
          <w:b/>
          <w:iCs/>
        </w:rPr>
        <w:t>ORIJENTACIJA NA ODRŽIVOST</w:t>
      </w:r>
      <w:r w:rsidR="00D75F69">
        <w:rPr>
          <w:rFonts w:ascii="Calibri" w:eastAsia="Calibri" w:hAnsi="Calibri" w:cs="Times New Roman"/>
          <w:b/>
          <w:iCs/>
        </w:rPr>
        <w:t xml:space="preserve"> </w:t>
      </w:r>
      <w:r w:rsidR="00143491" w:rsidRPr="00143491">
        <w:rPr>
          <w:rFonts w:ascii="Calibri" w:eastAsia="Calibri" w:hAnsi="Calibri" w:cs="Times New Roman"/>
          <w:b/>
          <w:iCs/>
        </w:rPr>
        <w:t>(ESG)</w:t>
      </w:r>
    </w:p>
    <w:p w14:paraId="11BAE111" w14:textId="23CA829F" w:rsidR="00297265" w:rsidRPr="00380B32" w:rsidRDefault="00297265" w:rsidP="008325F4">
      <w:pPr>
        <w:jc w:val="both"/>
      </w:pPr>
      <w:r w:rsidRPr="00380B32">
        <w:t>Gr</w:t>
      </w:r>
      <w:r>
        <w:t xml:space="preserve">upa </w:t>
      </w:r>
      <w:r w:rsidRPr="00380B32">
        <w:t xml:space="preserve">Triglav </w:t>
      </w:r>
      <w:r>
        <w:t>zacrtala je</w:t>
      </w:r>
      <w:r w:rsidRPr="00380B32">
        <w:t xml:space="preserve"> strateške ambicije za održivi razvoj u oblasti životne sredine, društva i upravljanja do 2025. godine. Sistematski ih sprovodi u</w:t>
      </w:r>
      <w:r>
        <w:t xml:space="preserve"> sopstvenim procesima u</w:t>
      </w:r>
      <w:r w:rsidRPr="00380B32">
        <w:t xml:space="preserve"> ob</w:t>
      </w:r>
      <w:r>
        <w:t>j</w:t>
      </w:r>
      <w:r w:rsidRPr="00380B32">
        <w:t>e strateške aktivnosti, u odnosu na društveno okruženje i u korporativnom upravljanju.</w:t>
      </w:r>
    </w:p>
    <w:p w14:paraId="4958F23C" w14:textId="77777777" w:rsidR="00297265" w:rsidRPr="00380B32" w:rsidRDefault="00297265" w:rsidP="008325F4">
      <w:pPr>
        <w:jc w:val="both"/>
      </w:pPr>
      <w:r w:rsidRPr="00380B32">
        <w:t>U ponudi ob</w:t>
      </w:r>
      <w:r>
        <w:t>j</w:t>
      </w:r>
      <w:r w:rsidRPr="00380B32">
        <w:t>e osnovne delatnosti proširuje usluge koje promovišu društvene i ekološke beneficije, na prim</w:t>
      </w:r>
      <w:r>
        <w:t>j</w:t>
      </w:r>
      <w:r w:rsidRPr="00380B32">
        <w:t>er osiguranje solarnih elektrana, mikromobilnosti, električnih i hibridnih vozila, poljoprivredno osiguranje sa akcentom na domaću proizvodnju i unapređenje zaštite us</w:t>
      </w:r>
      <w:r>
        <w:t>j</w:t>
      </w:r>
      <w:r w:rsidRPr="00380B32">
        <w:t>eva od suše. U investicionom portf</w:t>
      </w:r>
      <w:r>
        <w:t>elju</w:t>
      </w:r>
      <w:r w:rsidRPr="00380B32">
        <w:t xml:space="preserve"> raste ud</w:t>
      </w:r>
      <w:r>
        <w:t>io</w:t>
      </w:r>
      <w:r w:rsidRPr="00380B32">
        <w:t xml:space="preserve"> zelenih i održivih obveznica i obveznica sa društvenim uticajem. Njihovo učešće u portfelju obveznica je na kraju godine dostiglo 10</w:t>
      </w:r>
      <w:r>
        <w:t>%</w:t>
      </w:r>
      <w:r w:rsidRPr="00380B32">
        <w:t>. Grupa</w:t>
      </w:r>
      <w:r>
        <w:t xml:space="preserve"> Triglav</w:t>
      </w:r>
      <w:r w:rsidRPr="00380B32">
        <w:t xml:space="preserve"> godinama nudi klijentima nam</w:t>
      </w:r>
      <w:r>
        <w:t>j</w:t>
      </w:r>
      <w:r w:rsidRPr="00380B32">
        <w:t>enski fond za održivi kapital, Triglav Zeleni, koji je sada usaglasio sa evropskom regulativom o ob</w:t>
      </w:r>
      <w:r>
        <w:t>j</w:t>
      </w:r>
      <w:r w:rsidRPr="00380B32">
        <w:t>elodanjivanju u vezi sa održivošću u sektoru finansijskih usluga.</w:t>
      </w:r>
    </w:p>
    <w:p w14:paraId="7451D650" w14:textId="78EFFC97" w:rsidR="00297265" w:rsidRPr="00380B32" w:rsidRDefault="00297265" w:rsidP="008325F4">
      <w:pPr>
        <w:jc w:val="both"/>
      </w:pPr>
      <w:r w:rsidRPr="00380B32">
        <w:t>U skladu sa zacrtanim ekološkim ciljevima, smanjuje potrošnju energije, papira i obim otpada u sopstvenim procesima. Tako je 2022. godine usp</w:t>
      </w:r>
      <w:r>
        <w:t>j</w:t>
      </w:r>
      <w:r w:rsidRPr="00380B32">
        <w:t>ešno smanj</w:t>
      </w:r>
      <w:r>
        <w:t>ila</w:t>
      </w:r>
      <w:r w:rsidRPr="00380B32">
        <w:t xml:space="preserve"> uglj</w:t>
      </w:r>
      <w:r w:rsidR="001D547E">
        <w:t>ični</w:t>
      </w:r>
      <w:r w:rsidRPr="00380B32">
        <w:t xml:space="preserve"> otisak </w:t>
      </w:r>
      <w:r>
        <w:t>obima</w:t>
      </w:r>
      <w:r w:rsidRPr="00380B32">
        <w:t xml:space="preserve"> 1 i 2 za 11</w:t>
      </w:r>
      <w:r>
        <w:t>%</w:t>
      </w:r>
      <w:r w:rsidRPr="00380B32">
        <w:t>. Izvršila je i prva ulaganja u solarne panele, koji će omogućiti d</w:t>
      </w:r>
      <w:r>
        <w:t>j</w:t>
      </w:r>
      <w:r w:rsidRPr="00380B32">
        <w:t xml:space="preserve">elimičnu energetsku samoodrživost, </w:t>
      </w:r>
      <w:r w:rsidRPr="00380B32">
        <w:lastRenderedPageBreak/>
        <w:t>povećala ud</w:t>
      </w:r>
      <w:r>
        <w:t>io</w:t>
      </w:r>
      <w:r w:rsidRPr="00380B32">
        <w:t xml:space="preserve"> električnih i hibridnih vozila u voznom parku, radila u pravcu digitalizacije i bezpapirnog poslovanja.</w:t>
      </w:r>
    </w:p>
    <w:p w14:paraId="118216D5" w14:textId="77777777" w:rsidR="00297265" w:rsidRPr="00380B32" w:rsidRDefault="00297265" w:rsidP="008325F4">
      <w:pPr>
        <w:jc w:val="both"/>
      </w:pPr>
      <w:r>
        <w:t>Grupa Triglav</w:t>
      </w:r>
      <w:r w:rsidRPr="00380B32">
        <w:t xml:space="preserve"> je tradicionalno blisko uključena u društveno i ekološki odgovorne projekte, partnerstva i donacije. 2022. godine, povezujući svoje partnere iz sv</w:t>
      </w:r>
      <w:r>
        <w:t>ij</w:t>
      </w:r>
      <w:r w:rsidRPr="00380B32">
        <w:t>eta sporta, kulture, zdravlja, prevencije i privrede, kreirala je platformu Safe the Future, gd</w:t>
      </w:r>
      <w:r>
        <w:t>j</w:t>
      </w:r>
      <w:r w:rsidRPr="00380B32">
        <w:t>e zajedno sa njima podiže sv</w:t>
      </w:r>
      <w:r>
        <w:t>ij</w:t>
      </w:r>
      <w:r w:rsidRPr="00380B32">
        <w:t>est o značaju održive prakse zasnovane na 17 Ciljeva održivog razvoja Ujedinjenih nacija (SDG).</w:t>
      </w:r>
    </w:p>
    <w:p w14:paraId="4A0A5E5C" w14:textId="04CB5CD9" w:rsidR="00CA5513" w:rsidRDefault="00297265" w:rsidP="008325F4">
      <w:pPr>
        <w:jc w:val="both"/>
      </w:pPr>
      <w:r w:rsidRPr="00380B32">
        <w:t xml:space="preserve">U svom radu prati visoke standarde korporativnog upravljanja. </w:t>
      </w:r>
      <w:r>
        <w:t>Čineći</w:t>
      </w:r>
      <w:r w:rsidRPr="00380B32">
        <w:t xml:space="preserve"> to, takođe</w:t>
      </w:r>
      <w:r>
        <w:t>,</w:t>
      </w:r>
      <w:r w:rsidRPr="00380B32">
        <w:t xml:space="preserve"> n</w:t>
      </w:r>
      <w:r>
        <w:t>j</w:t>
      </w:r>
      <w:r w:rsidRPr="00380B32">
        <w:t xml:space="preserve">eguje kulturu različitosti i inkluzije i prepoznaje mogućnosti koje ona donosi. U </w:t>
      </w:r>
      <w:r>
        <w:t>Grupi Triglav</w:t>
      </w:r>
      <w:r w:rsidRPr="00380B32">
        <w:t xml:space="preserve"> 55</w:t>
      </w:r>
      <w:r>
        <w:t>%</w:t>
      </w:r>
      <w:r w:rsidRPr="00380B32">
        <w:t xml:space="preserve"> su žene, njihov u</w:t>
      </w:r>
      <w:r>
        <w:t>dio</w:t>
      </w:r>
      <w:r w:rsidRPr="00380B32">
        <w:t xml:space="preserve"> je 45</w:t>
      </w:r>
      <w:r>
        <w:t>%</w:t>
      </w:r>
      <w:r w:rsidRPr="00380B32">
        <w:t xml:space="preserve"> među višim menadžerima i 24</w:t>
      </w:r>
      <w:r>
        <w:t>%</w:t>
      </w:r>
      <w:r w:rsidRPr="00380B32">
        <w:t xml:space="preserve"> među zaposlenima koji vode ili nadgledaju kompanije Grupe. Učestvuje u međunarodnim inicijativama UN PSI, UNEP FI i u partnerstvu PCAF, koje implementiraju principe održivog razvoja, i izv</w:t>
      </w:r>
      <w:r w:rsidR="000F2278">
        <w:t>j</w:t>
      </w:r>
      <w:r w:rsidRPr="00380B32">
        <w:t>eštava u skladu sa standardima održivosti GRI, SASB i prema CDP upitniku o klimatskim prom</w:t>
      </w:r>
      <w:r>
        <w:t>j</w:t>
      </w:r>
      <w:r w:rsidRPr="00380B32">
        <w:t>enama.</w:t>
      </w:r>
    </w:p>
    <w:p w14:paraId="5EE1C900" w14:textId="77777777" w:rsidR="000F2278" w:rsidRDefault="00CA5513" w:rsidP="008325F4">
      <w:pPr>
        <w:jc w:val="both"/>
      </w:pPr>
      <w:r w:rsidRPr="00CA5513">
        <w:rPr>
          <w:b/>
          <w:bCs/>
        </w:rPr>
        <w:t>IMPLEMENTACIJA POLITIKE DIVIDENDI</w:t>
      </w:r>
    </w:p>
    <w:p w14:paraId="73B03062" w14:textId="3B0ECAB2" w:rsidR="00297265" w:rsidRPr="00E55EFB" w:rsidRDefault="00297265" w:rsidP="008325F4">
      <w:pPr>
        <w:jc w:val="both"/>
      </w:pPr>
      <w:r w:rsidRPr="00E55EFB">
        <w:t xml:space="preserve">Zavarovalnica Triglav nastoji da svoje </w:t>
      </w:r>
      <w:r w:rsidR="001D547E">
        <w:t>dionice</w:t>
      </w:r>
      <w:r w:rsidRPr="00E55EFB">
        <w:t xml:space="preserve"> učini profitabilnom, sigurnom i stabilnom investicijom za investitore. Na to je uticalo i stanje na berzi u 2022. godini, koje je snizilo njen kurs za 6</w:t>
      </w:r>
      <w:r>
        <w:t>5%</w:t>
      </w:r>
      <w:r w:rsidRPr="00E55EFB">
        <w:t xml:space="preserve"> (indeks Ljubljanske b</w:t>
      </w:r>
      <w:r w:rsidR="001D547E">
        <w:t>e</w:t>
      </w:r>
      <w:r w:rsidRPr="00E55EFB">
        <w:t>rze za 17</w:t>
      </w:r>
      <w:r>
        <w:t>%</w:t>
      </w:r>
      <w:r w:rsidRPr="00E55EFB">
        <w:t>). Njen ukupan prinos je bio 4,5</w:t>
      </w:r>
      <w:r>
        <w:t>%</w:t>
      </w:r>
      <w:r w:rsidRPr="00E55EFB">
        <w:t>, od čega je prinos od dividendi 10,7</w:t>
      </w:r>
      <w:r>
        <w:t>%</w:t>
      </w:r>
      <w:r w:rsidRPr="00E55EFB">
        <w:t>. Nakon d</w:t>
      </w:r>
      <w:r>
        <w:t>vije</w:t>
      </w:r>
      <w:r w:rsidRPr="00E55EFB">
        <w:t xml:space="preserve"> godine uslova koje je ob</w:t>
      </w:r>
      <w:r>
        <w:t>ilje</w:t>
      </w:r>
      <w:r w:rsidRPr="00E55EFB">
        <w:t>žila pandemija, osiguravajuća kuća je 2022. isplatila povećanu dividendu od 3,7 e</w:t>
      </w:r>
      <w:r>
        <w:t>u</w:t>
      </w:r>
      <w:r w:rsidRPr="00E55EFB">
        <w:t>ra bruto po akciji. Pri tome je, pored visine raspoloživog kapitala Grupe, vodila računa o posebnosti ili izuzetnosti pojedinih d</w:t>
      </w:r>
      <w:r>
        <w:t>j</w:t>
      </w:r>
      <w:r w:rsidRPr="00E55EFB">
        <w:t>elova poslovanja u prethodne dv</w:t>
      </w:r>
      <w:r>
        <w:t>ij</w:t>
      </w:r>
      <w:r w:rsidRPr="00E55EFB">
        <w:t>e godine.</w:t>
      </w:r>
    </w:p>
    <w:p w14:paraId="20DA76F0" w14:textId="76D5F174" w:rsidR="00CA5513" w:rsidRPr="00CA5513" w:rsidRDefault="00CA5513" w:rsidP="00CA5513">
      <w:pPr>
        <w:rPr>
          <w:i/>
          <w:iCs/>
        </w:rPr>
      </w:pPr>
      <w:r w:rsidRPr="008325F4">
        <w:rPr>
          <w:b/>
          <w:bCs/>
        </w:rPr>
        <w:t xml:space="preserve">Andrej Slapar, predsjednik Uprave Zavarovalnice Triglav, </w:t>
      </w:r>
      <w:r w:rsidRPr="00534405">
        <w:t>izjavio je</w:t>
      </w:r>
      <w:r>
        <w:t>: »</w:t>
      </w:r>
      <w:r w:rsidRPr="00CA5513">
        <w:rPr>
          <w:i/>
          <w:iCs/>
        </w:rPr>
        <w:t xml:space="preserve">U godini punoj izazova, još više smo radili na stvaranju sigurnije budućnosti za kupce, zaposlene i </w:t>
      </w:r>
      <w:r w:rsidR="00F01739">
        <w:rPr>
          <w:i/>
          <w:iCs/>
        </w:rPr>
        <w:t>dioničare</w:t>
      </w:r>
      <w:r w:rsidRPr="00CA5513">
        <w:rPr>
          <w:i/>
          <w:iCs/>
        </w:rPr>
        <w:t>, što će nam biti vodeći princip i u budućnosti. Mnogo nam znači što su kupci još jednom prepoznali uložen trud i zadovoljni su nama, a visoko zadovoljstvo iskazao je i tim od preko 5.300 kolega, kojima se iskreno zahvaljujem na usp</w:t>
      </w:r>
      <w:r w:rsidR="00F01739">
        <w:rPr>
          <w:i/>
          <w:iCs/>
        </w:rPr>
        <w:t>j</w:t>
      </w:r>
      <w:r w:rsidRPr="00CA5513">
        <w:rPr>
          <w:i/>
          <w:iCs/>
        </w:rPr>
        <w:t>ešnom radu .</w:t>
      </w:r>
      <w:r>
        <w:rPr>
          <w:i/>
          <w:iCs/>
        </w:rPr>
        <w:t>«</w:t>
      </w:r>
    </w:p>
    <w:p w14:paraId="1BDD3264" w14:textId="77777777" w:rsidR="00143491" w:rsidRPr="00143491" w:rsidRDefault="00143491" w:rsidP="0014349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iCs/>
        </w:rPr>
      </w:pPr>
    </w:p>
    <w:p w14:paraId="48A2CB5A" w14:textId="16E8E31D" w:rsidR="000F2278" w:rsidRDefault="00143491" w:rsidP="0014349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iCs/>
        </w:rPr>
      </w:pPr>
      <w:r w:rsidRPr="00143491">
        <w:rPr>
          <w:rFonts w:ascii="Calibri" w:eastAsia="Calibri" w:hAnsi="Calibri" w:cs="Times New Roman"/>
          <w:b/>
          <w:iCs/>
        </w:rPr>
        <w:t xml:space="preserve">STRATEGIJA </w:t>
      </w:r>
      <w:r w:rsidR="006A21E9">
        <w:rPr>
          <w:rFonts w:ascii="Calibri" w:eastAsia="Calibri" w:hAnsi="Calibri" w:cs="Times New Roman"/>
          <w:b/>
          <w:iCs/>
        </w:rPr>
        <w:t>GRUPE</w:t>
      </w:r>
      <w:r w:rsidRPr="00143491">
        <w:rPr>
          <w:rFonts w:ascii="Calibri" w:eastAsia="Calibri" w:hAnsi="Calibri" w:cs="Times New Roman"/>
          <w:b/>
          <w:iCs/>
        </w:rPr>
        <w:t xml:space="preserve"> TRIGLAV DO 2025</w:t>
      </w:r>
    </w:p>
    <w:p w14:paraId="7F5D8867" w14:textId="77777777" w:rsidR="000F2278" w:rsidRDefault="000F2278" w:rsidP="0014349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iCs/>
        </w:rPr>
      </w:pPr>
    </w:p>
    <w:p w14:paraId="6A551875" w14:textId="32046982" w:rsidR="00143491" w:rsidRDefault="006A21E9" w:rsidP="0014349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  <w:r w:rsidRPr="006A21E9">
        <w:rPr>
          <w:rFonts w:ascii="Calibri" w:eastAsia="Calibri" w:hAnsi="Calibri" w:cs="Times New Roman"/>
          <w:bCs/>
          <w:iCs/>
        </w:rPr>
        <w:t>Nastavkom digitalne</w:t>
      </w:r>
      <w:r>
        <w:rPr>
          <w:rFonts w:ascii="Calibri" w:eastAsia="Calibri" w:hAnsi="Calibri" w:cs="Times New Roman"/>
          <w:bCs/>
          <w:iCs/>
        </w:rPr>
        <w:t xml:space="preserve"> transformacije i razvojem uslužno orijentisanih poslovnih ekosistema, Grupa Triglav slijedi svoj glavni strateški cilj – izvanredno i jedinstveno iskustvo klijenata u svim kanalima, svim procesima, svim proizvodima i društvima. Svoju transformaciju zasniva na objedinjenom upravljanju iskustvom klijenata i digitalnim poslovanjem. U tu svrhu Grupa je u 2022. godini nastavila sa digitalizacijom </w:t>
      </w:r>
      <w:r w:rsidR="001052D2">
        <w:rPr>
          <w:rFonts w:ascii="Calibri" w:eastAsia="Calibri" w:hAnsi="Calibri" w:cs="Times New Roman"/>
          <w:bCs/>
          <w:iCs/>
        </w:rPr>
        <w:t>postupaka pomoći, prodaje i odštetnih zahtjeva te razvojem jedinstvene platforme za</w:t>
      </w:r>
      <w:r w:rsidR="00CA5513">
        <w:rPr>
          <w:rFonts w:ascii="Calibri" w:eastAsia="Calibri" w:hAnsi="Calibri" w:cs="Times New Roman"/>
          <w:bCs/>
          <w:iCs/>
        </w:rPr>
        <w:t xml:space="preserve"> usluge i</w:t>
      </w:r>
      <w:r w:rsidR="001052D2">
        <w:rPr>
          <w:rFonts w:ascii="Calibri" w:eastAsia="Calibri" w:hAnsi="Calibri" w:cs="Times New Roman"/>
          <w:bCs/>
          <w:iCs/>
        </w:rPr>
        <w:t xml:space="preserve"> komunikaciju sa klijentima. Osim toga, nekoliko internih procesa već je opremljeno alatima za robotsku</w:t>
      </w:r>
      <w:r w:rsidR="000F2278">
        <w:rPr>
          <w:rFonts w:ascii="Calibri" w:eastAsia="Calibri" w:hAnsi="Calibri" w:cs="Times New Roman"/>
          <w:bCs/>
          <w:iCs/>
        </w:rPr>
        <w:t xml:space="preserve"> </w:t>
      </w:r>
      <w:r w:rsidR="001052D2">
        <w:rPr>
          <w:rFonts w:ascii="Calibri" w:eastAsia="Calibri" w:hAnsi="Calibri" w:cs="Times New Roman"/>
          <w:bCs/>
          <w:iCs/>
        </w:rPr>
        <w:t xml:space="preserve">automatizaciju procesa. Ekosistemi u ključnim područjima zdravlja, finansijskih usluga, mobilnosti, života i kućnih ljubimaca nastavili su biti povezani kako u jedinstvenu platformu tako i u program lojalnosti </w:t>
      </w:r>
      <w:r w:rsidR="00CA5513">
        <w:rPr>
          <w:rFonts w:ascii="Calibri" w:eastAsia="Calibri" w:hAnsi="Calibri" w:cs="Times New Roman"/>
          <w:bCs/>
          <w:iCs/>
        </w:rPr>
        <w:t>»</w:t>
      </w:r>
      <w:r w:rsidR="001052D2">
        <w:rPr>
          <w:rFonts w:ascii="Calibri" w:eastAsia="Calibri" w:hAnsi="Calibri" w:cs="Times New Roman"/>
          <w:bCs/>
          <w:iCs/>
        </w:rPr>
        <w:t>Triglav komplet</w:t>
      </w:r>
      <w:r w:rsidR="00CA5513">
        <w:rPr>
          <w:rFonts w:ascii="Calibri" w:eastAsia="Calibri" w:hAnsi="Calibri" w:cs="Times New Roman"/>
          <w:bCs/>
          <w:iCs/>
        </w:rPr>
        <w:t>«</w:t>
      </w:r>
      <w:r w:rsidR="001052D2">
        <w:rPr>
          <w:rFonts w:ascii="Calibri" w:eastAsia="Calibri" w:hAnsi="Calibri" w:cs="Times New Roman"/>
          <w:bCs/>
          <w:iCs/>
        </w:rPr>
        <w:t xml:space="preserve">. Grupa je proširila ne samo ponudu svojih partnera, sa kojima dijeli zajednička načela poslovanja i cilj postizanja visokog zadovoljstva klijenata, već i ponudu asistencije i pratećih usluga. </w:t>
      </w:r>
      <w:r w:rsidRPr="006A21E9">
        <w:rPr>
          <w:rFonts w:ascii="Calibri" w:eastAsia="Calibri" w:hAnsi="Calibri" w:cs="Times New Roman"/>
          <w:bCs/>
          <w:iCs/>
        </w:rPr>
        <w:t xml:space="preserve"> </w:t>
      </w:r>
    </w:p>
    <w:p w14:paraId="047A32D2" w14:textId="5EFC5E61" w:rsidR="00143491" w:rsidRDefault="00143491" w:rsidP="0014349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14:paraId="12BDA301" w14:textId="6CB66C57" w:rsidR="00143491" w:rsidRDefault="00143491" w:rsidP="0014349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14:paraId="2D673DCB" w14:textId="6CBA55B5" w:rsidR="009F6776" w:rsidRDefault="009F6776" w:rsidP="0014349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14:paraId="4376ED1A" w14:textId="4472CB19" w:rsidR="009F6776" w:rsidRDefault="009F6776" w:rsidP="0014349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14:paraId="02E650F5" w14:textId="58BC766F" w:rsidR="009F6776" w:rsidRDefault="009F6776" w:rsidP="0014349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14:paraId="51185957" w14:textId="2E28475B" w:rsidR="009F6776" w:rsidRDefault="009F6776" w:rsidP="0014349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14:paraId="5A464559" w14:textId="54DF589F" w:rsidR="009F6776" w:rsidRDefault="009F6776" w:rsidP="0014349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14:paraId="1757BE2E" w14:textId="1C27AC33" w:rsidR="009F6776" w:rsidRDefault="009F6776" w:rsidP="0014349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14:paraId="3905F0ED" w14:textId="33F88A1E" w:rsidR="009F6776" w:rsidRDefault="009F6776" w:rsidP="0014349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14:paraId="60D76874" w14:textId="42CF15E3" w:rsidR="009F6776" w:rsidRDefault="009F6776" w:rsidP="0014349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14:paraId="3BD0ECA9" w14:textId="77777777" w:rsidR="009F6776" w:rsidRDefault="009F6776" w:rsidP="0014349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14:paraId="7C2B8F8E" w14:textId="2E2F3312" w:rsidR="009F6776" w:rsidRDefault="009F6776" w:rsidP="0014349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14:paraId="053782BF" w14:textId="793A381F" w:rsidR="00143491" w:rsidRPr="00143491" w:rsidRDefault="00143491" w:rsidP="00143491">
      <w:pPr>
        <w:rPr>
          <w:rFonts w:ascii="Triglav TheSans" w:eastAsia="Times New Roman" w:hAnsi="Triglav TheSans" w:cs="Times New Roman"/>
          <w:b/>
          <w:bCs/>
          <w:iCs/>
          <w:sz w:val="20"/>
          <w:szCs w:val="20"/>
          <w:lang w:eastAsia="sl-SI"/>
        </w:rPr>
      </w:pPr>
      <w:r w:rsidRPr="00143491">
        <w:rPr>
          <w:rFonts w:ascii="Triglav TheSans" w:eastAsia="Times New Roman" w:hAnsi="Triglav TheSans" w:cs="Times New Roman"/>
          <w:b/>
          <w:bCs/>
          <w:lang w:eastAsia="sl-SI"/>
        </w:rPr>
        <w:t>Ključni poda</w:t>
      </w:r>
      <w:r w:rsidR="00B52152">
        <w:rPr>
          <w:rFonts w:ascii="Triglav TheSans" w:eastAsia="Times New Roman" w:hAnsi="Triglav TheSans" w:cs="Times New Roman"/>
          <w:b/>
          <w:bCs/>
          <w:lang w:eastAsia="sl-SI"/>
        </w:rPr>
        <w:t xml:space="preserve">ci </w:t>
      </w:r>
      <w:r w:rsidRPr="00143491">
        <w:rPr>
          <w:rFonts w:ascii="Triglav TheSans" w:eastAsia="Times New Roman" w:hAnsi="Triglav TheSans" w:cs="Times New Roman"/>
          <w:b/>
          <w:bCs/>
          <w:lang w:eastAsia="sl-SI"/>
        </w:rPr>
        <w:t xml:space="preserve">o poslovanju </w:t>
      </w:r>
      <w:r w:rsidR="00B52152">
        <w:rPr>
          <w:rFonts w:ascii="Triglav TheSans" w:eastAsia="Times New Roman" w:hAnsi="Triglav TheSans" w:cs="Times New Roman"/>
          <w:b/>
          <w:bCs/>
          <w:lang w:eastAsia="sl-SI"/>
        </w:rPr>
        <w:t>Grupe</w:t>
      </w:r>
      <w:r w:rsidRPr="00143491">
        <w:rPr>
          <w:rFonts w:ascii="Triglav TheSans" w:eastAsia="Times New Roman" w:hAnsi="Triglav TheSans" w:cs="Times New Roman"/>
          <w:b/>
          <w:bCs/>
          <w:lang w:eastAsia="sl-SI"/>
        </w:rPr>
        <w:t xml:space="preserve"> Triglav     </w:t>
      </w:r>
      <w:r w:rsidRPr="00143491">
        <w:rPr>
          <w:rFonts w:ascii="Triglav TheSans" w:eastAsia="Times New Roman" w:hAnsi="Triglav TheSans" w:cs="Times New Roman"/>
          <w:b/>
          <w:bCs/>
          <w:iCs/>
          <w:sz w:val="20"/>
          <w:szCs w:val="20"/>
          <w:lang w:eastAsia="sl-SI"/>
        </w:rPr>
        <w:t xml:space="preserve">                                                                         </w:t>
      </w:r>
      <w:r w:rsidR="00B52152">
        <w:rPr>
          <w:rFonts w:ascii="Triglav TheSans" w:eastAsia="Times New Roman" w:hAnsi="Triglav TheSans" w:cs="Times New Roman"/>
          <w:b/>
          <w:bCs/>
          <w:iCs/>
          <w:sz w:val="20"/>
          <w:szCs w:val="20"/>
          <w:lang w:eastAsia="sl-SI"/>
        </w:rPr>
        <w:t xml:space="preserve">      </w:t>
      </w:r>
      <w:r w:rsidRPr="00143491">
        <w:rPr>
          <w:rFonts w:ascii="Triglav TheSans" w:eastAsia="Times New Roman" w:hAnsi="Triglav TheSans" w:cs="Times New Roman"/>
          <w:b/>
          <w:bCs/>
          <w:iCs/>
          <w:sz w:val="20"/>
          <w:szCs w:val="20"/>
          <w:lang w:eastAsia="sl-SI"/>
        </w:rPr>
        <w:t xml:space="preserve">  </w:t>
      </w:r>
      <w:r w:rsidR="00B52152">
        <w:rPr>
          <w:rFonts w:ascii="Triglav TheSans" w:eastAsia="Times New Roman" w:hAnsi="Triglav TheSans" w:cs="Arial"/>
          <w:bCs/>
          <w:i/>
          <w:iCs/>
          <w:sz w:val="20"/>
          <w:szCs w:val="20"/>
          <w:lang w:eastAsia="sl-SI"/>
        </w:rPr>
        <w:t>u</w:t>
      </w:r>
      <w:r w:rsidRPr="00143491">
        <w:rPr>
          <w:rFonts w:ascii="Triglav TheSans" w:eastAsia="Times New Roman" w:hAnsi="Triglav TheSans" w:cs="Arial"/>
          <w:bCs/>
          <w:i/>
          <w:iCs/>
          <w:sz w:val="20"/>
          <w:szCs w:val="20"/>
          <w:lang w:eastAsia="sl-SI"/>
        </w:rPr>
        <w:t xml:space="preserve"> mil</w:t>
      </w:r>
      <w:r w:rsidR="00B52152">
        <w:rPr>
          <w:rFonts w:ascii="Triglav TheSans" w:eastAsia="Times New Roman" w:hAnsi="Triglav TheSans" w:cs="Arial"/>
          <w:bCs/>
          <w:i/>
          <w:iCs/>
          <w:sz w:val="20"/>
          <w:szCs w:val="20"/>
          <w:lang w:eastAsia="sl-SI"/>
        </w:rPr>
        <w:t>ionima</w:t>
      </w:r>
      <w:r w:rsidRPr="00143491">
        <w:rPr>
          <w:rFonts w:ascii="Triglav TheSans" w:eastAsia="Times New Roman" w:hAnsi="Triglav TheSans" w:cs="Arial"/>
          <w:bCs/>
          <w:i/>
          <w:iCs/>
          <w:sz w:val="20"/>
          <w:szCs w:val="20"/>
          <w:lang w:eastAsia="sl-SI"/>
        </w:rPr>
        <w:t xml:space="preserve"> EUR</w:t>
      </w:r>
    </w:p>
    <w:tbl>
      <w:tblPr>
        <w:tblW w:w="92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7"/>
        <w:gridCol w:w="1340"/>
        <w:gridCol w:w="1340"/>
        <w:gridCol w:w="1340"/>
        <w:gridCol w:w="1340"/>
      </w:tblGrid>
      <w:tr w:rsidR="00143491" w:rsidRPr="00143491" w14:paraId="7BDFE088" w14:textId="77777777" w:rsidTr="00E34C07">
        <w:trPr>
          <w:trHeight w:val="287"/>
        </w:trPr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498A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color w:val="FFFFFF"/>
                <w:sz w:val="20"/>
                <w:szCs w:val="20"/>
                <w:lang w:eastAsia="sl-SI"/>
              </w:rPr>
            </w:pPr>
            <w:bookmarkStart w:id="1" w:name="RANGE!B12:G30"/>
            <w:bookmarkEnd w:id="1"/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DC0A16"/>
            <w:noWrap/>
            <w:vAlign w:val="center"/>
            <w:hideMark/>
          </w:tcPr>
          <w:p w14:paraId="04B81152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b/>
                <w:bCs/>
                <w:color w:val="FFFFFF"/>
                <w:sz w:val="20"/>
                <w:szCs w:val="20"/>
                <w:lang w:eastAsia="sl-SI"/>
              </w:rPr>
              <w:t>2022</w:t>
            </w:r>
            <w:r w:rsidRPr="00143491">
              <w:rPr>
                <w:rFonts w:ascii="Triglav TheSans" w:eastAsia="Times New Roman" w:hAnsi="Triglav TheSans" w:cs="Arial"/>
                <w:b/>
                <w:bCs/>
                <w:color w:val="FFFFFF"/>
                <w:sz w:val="24"/>
                <w:szCs w:val="24"/>
                <w:vertAlign w:val="superscript"/>
                <w:lang w:eastAsia="sl-SI"/>
              </w:rPr>
              <w:footnoteReference w:id="2"/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D36A1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b/>
                <w:bCs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b/>
                <w:bCs/>
                <w:sz w:val="20"/>
                <w:szCs w:val="20"/>
                <w:lang w:eastAsia="sl-SI"/>
              </w:rPr>
              <w:t>2021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8F09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b/>
                <w:bCs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b/>
                <w:bCs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C0A16"/>
            <w:vAlign w:val="center"/>
          </w:tcPr>
          <w:p w14:paraId="546D3039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b/>
                <w:bCs/>
                <w:color w:val="FFFFFF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b/>
                <w:bCs/>
                <w:color w:val="FFFFFF"/>
                <w:sz w:val="20"/>
                <w:szCs w:val="20"/>
                <w:lang w:eastAsia="sl-SI"/>
              </w:rPr>
              <w:t>Indeks 2022/2021</w:t>
            </w:r>
          </w:p>
        </w:tc>
      </w:tr>
      <w:tr w:rsidR="00143491" w:rsidRPr="00143491" w14:paraId="1859313E" w14:textId="77777777" w:rsidTr="00E34C07">
        <w:trPr>
          <w:trHeight w:val="287"/>
        </w:trPr>
        <w:tc>
          <w:tcPr>
            <w:tcW w:w="39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6B5BBD7" w14:textId="7E0F7E41" w:rsidR="00143491" w:rsidRPr="00143491" w:rsidRDefault="00393B2D" w:rsidP="00143491">
            <w:pPr>
              <w:spacing w:after="0" w:line="240" w:lineRule="auto"/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</w:pPr>
            <w:r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Ukupni</w:t>
            </w:r>
            <w:r w:rsidR="00143491"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 xml:space="preserve"> prih</w:t>
            </w:r>
            <w:r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odi</w:t>
            </w:r>
          </w:p>
        </w:tc>
        <w:tc>
          <w:tcPr>
            <w:tcW w:w="1340" w:type="dxa"/>
            <w:tcBorders>
              <w:left w:val="nil"/>
              <w:right w:val="nil"/>
            </w:tcBorders>
            <w:shd w:val="clear" w:color="auto" w:fill="FFDDDD"/>
            <w:noWrap/>
            <w:vAlign w:val="bottom"/>
          </w:tcPr>
          <w:p w14:paraId="14F3F974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1.599,3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EB5A284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1.455,1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2897D1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1.318,4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554FC20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110</w:t>
            </w:r>
          </w:p>
        </w:tc>
      </w:tr>
      <w:tr w:rsidR="00143491" w:rsidRPr="00143491" w14:paraId="1A4E4C68" w14:textId="77777777" w:rsidTr="00E34C07">
        <w:trPr>
          <w:trHeight w:val="287"/>
        </w:trPr>
        <w:tc>
          <w:tcPr>
            <w:tcW w:w="390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2D44B" w14:textId="73229130" w:rsidR="00143491" w:rsidRPr="00143491" w:rsidRDefault="00143491" w:rsidP="00143491">
            <w:pPr>
              <w:spacing w:after="0" w:line="240" w:lineRule="auto"/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Obračun</w:t>
            </w:r>
            <w:r w:rsidR="00393B2D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ata</w:t>
            </w:r>
            <w:r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 xml:space="preserve"> </w:t>
            </w:r>
            <w:r w:rsidR="00393B2D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bruto</w:t>
            </w:r>
            <w:r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 xml:space="preserve"> premija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FFDDDD"/>
            <w:noWrap/>
            <w:vAlign w:val="bottom"/>
          </w:tcPr>
          <w:p w14:paraId="3D5700A3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1.479,6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bottom"/>
          </w:tcPr>
          <w:p w14:paraId="4DC03A51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1.353,0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0BBE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1.233,8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bottom"/>
          </w:tcPr>
          <w:p w14:paraId="64F15B74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109</w:t>
            </w:r>
          </w:p>
        </w:tc>
      </w:tr>
      <w:tr w:rsidR="00143491" w:rsidRPr="00143491" w14:paraId="75558DC4" w14:textId="77777777" w:rsidTr="00E34C07">
        <w:trPr>
          <w:trHeight w:val="287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EE66" w14:textId="744E814E" w:rsidR="00143491" w:rsidRPr="00143491" w:rsidRDefault="00143491" w:rsidP="00143491">
            <w:pPr>
              <w:spacing w:after="0" w:line="240" w:lineRule="auto"/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Čisti prih</w:t>
            </w:r>
            <w:r w:rsidR="00393B2D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odi</w:t>
            </w:r>
            <w:r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 xml:space="preserve"> od premij</w:t>
            </w:r>
            <w:r w:rsidR="00393B2D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e osiguranja</w:t>
            </w:r>
            <w:r w:rsidRPr="00143491">
              <w:rPr>
                <w:rFonts w:ascii="Triglav TheSans" w:eastAsia="Times New Roman" w:hAnsi="Triglav TheSans" w:cs="Calibri"/>
                <w:sz w:val="20"/>
                <w:szCs w:val="20"/>
                <w:vertAlign w:val="superscript"/>
                <w:lang w:eastAsia="sl-SI"/>
              </w:rPr>
              <w:footnoteReference w:id="3"/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bottom"/>
          </w:tcPr>
          <w:p w14:paraId="522796DF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1.189,9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3BE5B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1.119,8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7EA0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1.066,8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8AA99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106</w:t>
            </w:r>
          </w:p>
        </w:tc>
      </w:tr>
      <w:tr w:rsidR="00143491" w:rsidRPr="00143491" w14:paraId="7BF10CF3" w14:textId="77777777" w:rsidTr="00E34C07">
        <w:trPr>
          <w:trHeight w:val="287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7E67" w14:textId="4480A797" w:rsidR="00143491" w:rsidRPr="00143491" w:rsidRDefault="00143491" w:rsidP="00143491">
            <w:pPr>
              <w:spacing w:after="0" w:line="240" w:lineRule="auto"/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Obraču</w:t>
            </w:r>
            <w:r w:rsidR="00393B2D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nati</w:t>
            </w:r>
            <w:r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 xml:space="preserve"> </w:t>
            </w:r>
            <w:r w:rsidR="00393B2D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bruto iznos šteta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bottom"/>
          </w:tcPr>
          <w:p w14:paraId="3BFA2C54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832,2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3768C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736,6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9F24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697,4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11073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</w:tr>
      <w:tr w:rsidR="00143491" w:rsidRPr="00143491" w14:paraId="242EBD23" w14:textId="77777777" w:rsidTr="00E34C07">
        <w:trPr>
          <w:trHeight w:val="287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CC2C" w14:textId="4A910FF2" w:rsidR="00143491" w:rsidRPr="00143491" w:rsidRDefault="00143491" w:rsidP="00143491">
            <w:pPr>
              <w:spacing w:after="0" w:line="240" w:lineRule="auto"/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 xml:space="preserve">Čisti </w:t>
            </w:r>
            <w:r w:rsidR="00393B2D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rashodi</w:t>
            </w:r>
            <w:r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 xml:space="preserve"> za š</w:t>
            </w:r>
            <w:r w:rsidR="00393B2D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tete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bottom"/>
          </w:tcPr>
          <w:p w14:paraId="0CC7A49B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746,7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28202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715,0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6D4E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683,6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8165D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104</w:t>
            </w:r>
          </w:p>
        </w:tc>
      </w:tr>
      <w:tr w:rsidR="00143491" w:rsidRPr="00143491" w14:paraId="1D5D7140" w14:textId="77777777" w:rsidTr="00E34C07">
        <w:trPr>
          <w:trHeight w:val="287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A8E7" w14:textId="3A96303E" w:rsidR="00143491" w:rsidRPr="00143491" w:rsidRDefault="00393B2D" w:rsidP="00143491">
            <w:pPr>
              <w:spacing w:after="0" w:line="240" w:lineRule="auto"/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</w:pPr>
            <w:r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Bruto troškovi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bottom"/>
          </w:tcPr>
          <w:p w14:paraId="09CE80CF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374,9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04556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333,4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E0AA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306,7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7AD3A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112</w:t>
            </w:r>
          </w:p>
        </w:tc>
      </w:tr>
      <w:tr w:rsidR="00143491" w:rsidRPr="00143491" w14:paraId="5BFFF866" w14:textId="77777777" w:rsidTr="00E34C07">
        <w:trPr>
          <w:trHeight w:val="287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5C60" w14:textId="77FDBBCF" w:rsidR="00143491" w:rsidRPr="00143491" w:rsidRDefault="00393B2D" w:rsidP="00143491">
            <w:pPr>
              <w:spacing w:after="0" w:line="240" w:lineRule="auto"/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</w:pPr>
            <w:r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Profit prije oporezivanja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bottom"/>
          </w:tcPr>
          <w:p w14:paraId="1BBA843A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134,5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F6522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132,6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AECF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90,9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9EC6E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101</w:t>
            </w:r>
          </w:p>
        </w:tc>
      </w:tr>
      <w:tr w:rsidR="00143491" w:rsidRPr="00143491" w14:paraId="5551E0E7" w14:textId="77777777" w:rsidTr="00E34C07">
        <w:trPr>
          <w:trHeight w:val="287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42FD" w14:textId="0BFA0361" w:rsidR="00143491" w:rsidRPr="00143491" w:rsidRDefault="00143491" w:rsidP="00143491">
            <w:pPr>
              <w:spacing w:after="0" w:line="240" w:lineRule="auto"/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Čis</w:t>
            </w:r>
            <w:r w:rsidR="00393B2D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ti profit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bottom"/>
          </w:tcPr>
          <w:p w14:paraId="60BBA6E5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110,2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E87DE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113,0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1FF8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73,7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A6281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143491" w:rsidRPr="00143491" w14:paraId="749A1374" w14:textId="77777777" w:rsidTr="00E34C07">
        <w:trPr>
          <w:trHeight w:val="287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E94A" w14:textId="1FE0D2C3" w:rsidR="00143491" w:rsidRPr="00143491" w:rsidRDefault="00143491" w:rsidP="00143491">
            <w:pPr>
              <w:spacing w:after="0" w:line="240" w:lineRule="auto"/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 xml:space="preserve">Stanje </w:t>
            </w:r>
            <w:r w:rsidR="00393B2D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osiguravajuće-tehničkih rezervacija</w:t>
            </w:r>
            <w:r w:rsidRPr="00143491">
              <w:rPr>
                <w:rFonts w:ascii="Triglav TheSans" w:eastAsia="Times New Roman" w:hAnsi="Triglav TheSans" w:cs="Calibri"/>
                <w:sz w:val="20"/>
                <w:szCs w:val="20"/>
                <w:vertAlign w:val="superscript"/>
                <w:lang w:eastAsia="sl-SI"/>
              </w:rPr>
              <w:footnoteReference w:id="4"/>
            </w:r>
            <w:r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bottom"/>
          </w:tcPr>
          <w:p w14:paraId="195BA0E4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3.100,0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7F89B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3.198,7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51D6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3.033,2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55E93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</w:tr>
      <w:tr w:rsidR="00143491" w:rsidRPr="00143491" w14:paraId="44D02DB7" w14:textId="77777777" w:rsidTr="00E34C07">
        <w:trPr>
          <w:trHeight w:val="287"/>
        </w:trPr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9321D" w14:textId="77777777" w:rsidR="00143491" w:rsidRPr="00143491" w:rsidRDefault="00143491" w:rsidP="00143491">
            <w:pPr>
              <w:spacing w:after="0" w:line="240" w:lineRule="auto"/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Kapital</w:t>
            </w:r>
            <w:r w:rsidRPr="00143491">
              <w:rPr>
                <w:rFonts w:ascii="Triglav TheSans" w:eastAsia="Times New Roman" w:hAnsi="Triglav TheSans" w:cs="Calibri"/>
                <w:sz w:val="24"/>
                <w:szCs w:val="24"/>
                <w:lang w:eastAsia="sl-SI"/>
              </w:rPr>
              <w:t>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DDD"/>
            <w:noWrap/>
            <w:vAlign w:val="bottom"/>
          </w:tcPr>
          <w:p w14:paraId="6E346ECE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752,8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8BC0BB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933,0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DB55A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870,2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31B6F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</w:tr>
      <w:tr w:rsidR="00143491" w:rsidRPr="00143491" w14:paraId="1B48CBEB" w14:textId="77777777" w:rsidTr="00E34C07">
        <w:trPr>
          <w:trHeight w:val="287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AEC2" w14:textId="77777777" w:rsidR="00143491" w:rsidRPr="00143491" w:rsidRDefault="00143491" w:rsidP="00143491">
            <w:pPr>
              <w:spacing w:after="0" w:line="240" w:lineRule="auto"/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Kombinirani količnik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bottom"/>
          </w:tcPr>
          <w:p w14:paraId="411B03D2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88,1 %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E63BC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88,9 %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FD6F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91,2 %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B78DF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</w:p>
        </w:tc>
      </w:tr>
      <w:tr w:rsidR="00143491" w:rsidRPr="00143491" w14:paraId="565216A0" w14:textId="77777777" w:rsidTr="00E34C07">
        <w:trPr>
          <w:trHeight w:val="287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C618" w14:textId="71770BDB" w:rsidR="00143491" w:rsidRPr="00143491" w:rsidRDefault="00143491" w:rsidP="00143491">
            <w:pPr>
              <w:spacing w:after="0" w:line="240" w:lineRule="auto"/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 xml:space="preserve">Čista </w:t>
            </w:r>
            <w:r w:rsidR="00393B2D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profitabilnost</w:t>
            </w:r>
            <w:r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 xml:space="preserve"> kapitala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bottom"/>
          </w:tcPr>
          <w:p w14:paraId="3B936AC0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13,1%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30E09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12,5 %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3148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8,9 %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571F9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</w:p>
        </w:tc>
      </w:tr>
      <w:tr w:rsidR="00143491" w:rsidRPr="00143491" w14:paraId="11ECEB54" w14:textId="77777777" w:rsidTr="00E34C07">
        <w:trPr>
          <w:trHeight w:val="287"/>
        </w:trPr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AE8AB" w14:textId="3B3FEB0D" w:rsidR="00143491" w:rsidRPr="00143491" w:rsidRDefault="00393B2D" w:rsidP="00143491">
            <w:pPr>
              <w:spacing w:after="0" w:line="240" w:lineRule="auto"/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</w:pPr>
            <w:r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 xml:space="preserve">Računovodstvena </w:t>
            </w:r>
            <w:r w:rsidR="00143491"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v</w:t>
            </w:r>
            <w:r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rijednost</w:t>
            </w:r>
            <w:r w:rsidR="00143491"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 xml:space="preserve"> d</w:t>
            </w:r>
            <w:r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ionica</w:t>
            </w:r>
            <w:r w:rsidR="00143491"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 xml:space="preserve"> (</w:t>
            </w:r>
            <w:r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u</w:t>
            </w:r>
            <w:r w:rsidR="00143491"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 xml:space="preserve"> EUR)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DDDD"/>
            <w:noWrap/>
            <w:vAlign w:val="bottom"/>
          </w:tcPr>
          <w:p w14:paraId="3CFCBB38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32,96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717AE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40,93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3ADE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38,16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30328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</w:tr>
      <w:tr w:rsidR="00143491" w:rsidRPr="00143491" w14:paraId="086E1030" w14:textId="77777777" w:rsidTr="00E34C07">
        <w:trPr>
          <w:trHeight w:val="287"/>
        </w:trPr>
        <w:tc>
          <w:tcPr>
            <w:tcW w:w="39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90CA82B" w14:textId="1F756910" w:rsidR="00143491" w:rsidRPr="00143491" w:rsidRDefault="00143491" w:rsidP="00143491">
            <w:pPr>
              <w:spacing w:after="0" w:line="240" w:lineRule="auto"/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 xml:space="preserve">Čisti </w:t>
            </w:r>
            <w:r w:rsidR="00393B2D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profit</w:t>
            </w:r>
            <w:r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 xml:space="preserve"> na d</w:t>
            </w:r>
            <w:r w:rsidR="00393B2D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ionicu</w:t>
            </w:r>
            <w:r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 xml:space="preserve"> (</w:t>
            </w:r>
            <w:r w:rsidR="00393B2D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u</w:t>
            </w:r>
            <w:r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 xml:space="preserve"> EUR)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FFDDDD"/>
            <w:noWrap/>
            <w:vAlign w:val="bottom"/>
          </w:tcPr>
          <w:p w14:paraId="059C4B5F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4,85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bottom"/>
          </w:tcPr>
          <w:p w14:paraId="58043581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4,97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8655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3,24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bottom"/>
          </w:tcPr>
          <w:p w14:paraId="017F3703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143491" w:rsidRPr="00143491" w14:paraId="040A9CF0" w14:textId="77777777" w:rsidTr="00E34C07">
        <w:trPr>
          <w:trHeight w:val="287"/>
        </w:trPr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FA75B" w14:textId="515F0DD6" w:rsidR="00143491" w:rsidRPr="00143491" w:rsidRDefault="00393B2D" w:rsidP="00143491">
            <w:pPr>
              <w:spacing w:after="0" w:line="240" w:lineRule="auto"/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</w:pPr>
            <w:r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>Broj</w:t>
            </w:r>
            <w:r w:rsidR="00143491" w:rsidRPr="00143491">
              <w:rPr>
                <w:rFonts w:ascii="Triglav TheSans" w:eastAsia="Times New Roman" w:hAnsi="Triglav TheSans" w:cs="Calibri"/>
                <w:sz w:val="20"/>
                <w:szCs w:val="20"/>
                <w:lang w:eastAsia="sl-SI"/>
              </w:rPr>
              <w:t xml:space="preserve"> zaposlenih</w:t>
            </w:r>
            <w:r w:rsidR="00143491" w:rsidRPr="00143491">
              <w:rPr>
                <w:rFonts w:ascii="Triglav TheSans" w:eastAsia="Times New Roman" w:hAnsi="Triglav TheSans" w:cs="Calibri"/>
                <w:sz w:val="24"/>
                <w:szCs w:val="24"/>
                <w:lang w:eastAsia="sl-SI"/>
              </w:rPr>
              <w:t>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DDD"/>
            <w:noWrap/>
            <w:vAlign w:val="bottom"/>
          </w:tcPr>
          <w:p w14:paraId="33740997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5.306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0B88B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Arial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5.264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46931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5.316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D43539" w14:textId="77777777" w:rsidR="00143491" w:rsidRPr="00143491" w:rsidRDefault="00143491" w:rsidP="00143491">
            <w:pPr>
              <w:spacing w:after="0" w:line="240" w:lineRule="auto"/>
              <w:jc w:val="right"/>
              <w:rPr>
                <w:rFonts w:ascii="Triglav TheSans" w:eastAsia="Times New Roman" w:hAnsi="Triglav TheSans" w:cs="Calibri"/>
                <w:color w:val="0070C0"/>
                <w:sz w:val="20"/>
                <w:szCs w:val="20"/>
                <w:lang w:eastAsia="sl-SI"/>
              </w:rPr>
            </w:pPr>
            <w:r w:rsidRPr="00143491">
              <w:rPr>
                <w:rFonts w:ascii="Triglav TheSans" w:eastAsia="Times New Roman" w:hAnsi="Triglav TheSans" w:cs="Arial"/>
                <w:color w:val="000000"/>
                <w:sz w:val="20"/>
                <w:szCs w:val="20"/>
                <w:lang w:eastAsia="sl-SI"/>
              </w:rPr>
              <w:t>101</w:t>
            </w:r>
          </w:p>
        </w:tc>
      </w:tr>
    </w:tbl>
    <w:p w14:paraId="26334369" w14:textId="77777777" w:rsidR="00143491" w:rsidRPr="00143491" w:rsidRDefault="00143491" w:rsidP="00143491">
      <w:pPr>
        <w:spacing w:after="0" w:line="240" w:lineRule="auto"/>
        <w:rPr>
          <w:rFonts w:ascii="Triglav TheSans" w:eastAsia="Times New Roman" w:hAnsi="Triglav TheSans" w:cs="Calibri"/>
          <w:b/>
          <w:bCs/>
          <w:iCs/>
          <w:color w:val="0070C0"/>
          <w:sz w:val="20"/>
          <w:szCs w:val="20"/>
          <w:highlight w:val="yellow"/>
          <w:lang w:eastAsia="sl-SI"/>
        </w:rPr>
      </w:pPr>
      <w:bookmarkStart w:id="2" w:name="RANGE!B11:E27"/>
      <w:bookmarkStart w:id="3" w:name="RANGE!B12:G31"/>
      <w:bookmarkEnd w:id="2"/>
      <w:bookmarkEnd w:id="3"/>
    </w:p>
    <w:p w14:paraId="0229AA9F" w14:textId="77777777" w:rsidR="00143491" w:rsidRPr="00143491" w:rsidRDefault="00143491" w:rsidP="00143491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14:paraId="36572349" w14:textId="77777777" w:rsidR="00685DDC" w:rsidRPr="00685DDC" w:rsidRDefault="00685DDC" w:rsidP="00685DDC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bCs/>
          <w:iCs/>
        </w:rPr>
      </w:pPr>
    </w:p>
    <w:p w14:paraId="1F0865E4" w14:textId="77777777" w:rsidR="006A21E9" w:rsidRDefault="006A21E9" w:rsidP="006A21E9">
      <w:pPr>
        <w:spacing w:after="0" w:line="240" w:lineRule="auto"/>
        <w:jc w:val="both"/>
        <w:rPr>
          <w:rFonts w:cs="Calibri"/>
          <w:b/>
          <w:color w:val="000000"/>
          <w:sz w:val="16"/>
          <w:szCs w:val="16"/>
        </w:rPr>
      </w:pPr>
      <w:r w:rsidRPr="00C505A9">
        <w:rPr>
          <w:rFonts w:cs="Calibri"/>
          <w:b/>
          <w:color w:val="000000"/>
          <w:sz w:val="16"/>
          <w:szCs w:val="16"/>
        </w:rPr>
        <w:t>Zavaro</w:t>
      </w:r>
      <w:r>
        <w:rPr>
          <w:rFonts w:cs="Calibri"/>
          <w:b/>
          <w:color w:val="000000"/>
          <w:sz w:val="16"/>
          <w:szCs w:val="16"/>
        </w:rPr>
        <w:t>valnica Triglav</w:t>
      </w:r>
    </w:p>
    <w:p w14:paraId="203995F0" w14:textId="77777777" w:rsidR="006A21E9" w:rsidRPr="00963119" w:rsidRDefault="0034191F" w:rsidP="006A21E9">
      <w:pPr>
        <w:spacing w:after="0" w:line="240" w:lineRule="auto"/>
        <w:jc w:val="both"/>
        <w:rPr>
          <w:rFonts w:cs="Calibri"/>
          <w:b/>
          <w:color w:val="000000"/>
          <w:sz w:val="16"/>
          <w:szCs w:val="16"/>
        </w:rPr>
      </w:pPr>
      <w:hyperlink r:id="rId9" w:history="1">
        <w:r w:rsidR="006A21E9" w:rsidRPr="00927144">
          <w:rPr>
            <w:rStyle w:val="Hyperlink"/>
            <w:rFonts w:cs="Calibri"/>
            <w:sz w:val="16"/>
            <w:szCs w:val="16"/>
          </w:rPr>
          <w:t>Zavarovalnica Triglav</w:t>
        </w:r>
      </w:hyperlink>
      <w:r w:rsidR="006A21E9" w:rsidRPr="00927144">
        <w:rPr>
          <w:rFonts w:cs="Calibri"/>
          <w:color w:val="000000"/>
          <w:sz w:val="16"/>
          <w:szCs w:val="16"/>
        </w:rPr>
        <w:t xml:space="preserve"> </w:t>
      </w:r>
      <w:r w:rsidR="006A21E9" w:rsidRPr="00963119">
        <w:rPr>
          <w:color w:val="000000"/>
          <w:sz w:val="16"/>
          <w:szCs w:val="16"/>
        </w:rPr>
        <w:t>je vodeća slovenačka klasična osigur</w:t>
      </w:r>
      <w:r w:rsidR="006A21E9">
        <w:rPr>
          <w:color w:val="000000"/>
          <w:sz w:val="16"/>
          <w:szCs w:val="16"/>
        </w:rPr>
        <w:t>avajuća kuća i matično Društvo</w:t>
      </w:r>
      <w:r w:rsidR="006A21E9" w:rsidRPr="00963119">
        <w:rPr>
          <w:color w:val="000000"/>
          <w:sz w:val="16"/>
          <w:szCs w:val="16"/>
        </w:rPr>
        <w:t xml:space="preserve"> Grupe Triglav. Sastoji se od mreže 12 područnih jedinica, 38 predstavništva sa brojnim prodajnim grupama i mjestima za sklapanje ugovora te više od 660 osiguravajućih zastupnika po cijeloj Sloveniji. Ponuda uključuje sve vrste ličnih i imovinskih osiguranja kao što su osiguranje imovine i imovinskih interesa, automobilska, poljoprivredna, transportna osiguranja, osiguranja potraživanja i osiguranja za slobodno vrijeme i putovanja. Zaokružena ponuda ličnih osiguranja se sastoji od svih oblika životnih, rentnih, penzijskih, nezgodnih i zdravstvenih osiguranja.</w:t>
      </w:r>
    </w:p>
    <w:p w14:paraId="5C39D990" w14:textId="77777777" w:rsidR="006A21E9" w:rsidRDefault="006A21E9" w:rsidP="006A21E9">
      <w:pPr>
        <w:spacing w:after="0" w:line="240" w:lineRule="auto"/>
        <w:jc w:val="both"/>
        <w:rPr>
          <w:rFonts w:cs="Calibri"/>
          <w:color w:val="000000"/>
        </w:rPr>
      </w:pPr>
    </w:p>
    <w:p w14:paraId="325C4271" w14:textId="77777777" w:rsidR="006A21E9" w:rsidRDefault="006A21E9" w:rsidP="006A21E9">
      <w:pPr>
        <w:spacing w:after="0" w:line="240" w:lineRule="auto"/>
        <w:jc w:val="both"/>
        <w:rPr>
          <w:rFonts w:cs="Calibri"/>
          <w:b/>
          <w:color w:val="000000"/>
          <w:sz w:val="16"/>
          <w:szCs w:val="16"/>
        </w:rPr>
      </w:pPr>
      <w:r>
        <w:rPr>
          <w:rFonts w:cs="Calibri"/>
          <w:b/>
          <w:color w:val="000000"/>
          <w:sz w:val="16"/>
          <w:szCs w:val="16"/>
        </w:rPr>
        <w:t>Grupa</w:t>
      </w:r>
      <w:r w:rsidRPr="00EC6902">
        <w:rPr>
          <w:rFonts w:cs="Calibri"/>
          <w:b/>
          <w:color w:val="000000"/>
          <w:sz w:val="16"/>
          <w:szCs w:val="16"/>
        </w:rPr>
        <w:t xml:space="preserve"> Triglav</w:t>
      </w:r>
    </w:p>
    <w:p w14:paraId="186DB209" w14:textId="77777777" w:rsidR="006A21E9" w:rsidRPr="00963119" w:rsidRDefault="0034191F" w:rsidP="006A21E9">
      <w:pPr>
        <w:spacing w:after="0" w:line="240" w:lineRule="auto"/>
        <w:jc w:val="both"/>
        <w:rPr>
          <w:rFonts w:cs="Calibri"/>
          <w:b/>
          <w:color w:val="000000"/>
          <w:sz w:val="16"/>
          <w:szCs w:val="16"/>
        </w:rPr>
      </w:pPr>
      <w:hyperlink r:id="rId10" w:history="1">
        <w:r w:rsidR="006A21E9">
          <w:rPr>
            <w:rStyle w:val="Hyperlink"/>
            <w:rFonts w:cs="Calibri"/>
            <w:sz w:val="16"/>
            <w:szCs w:val="16"/>
          </w:rPr>
          <w:t>Grupa</w:t>
        </w:r>
        <w:r w:rsidR="006A21E9" w:rsidRPr="00927144">
          <w:rPr>
            <w:rStyle w:val="Hyperlink"/>
            <w:rFonts w:cs="Calibri"/>
            <w:sz w:val="16"/>
            <w:szCs w:val="16"/>
          </w:rPr>
          <w:t xml:space="preserve"> Triglav</w:t>
        </w:r>
      </w:hyperlink>
      <w:r w:rsidR="006A21E9" w:rsidRPr="00927144">
        <w:rPr>
          <w:rFonts w:cs="Calibri"/>
          <w:color w:val="000000"/>
          <w:sz w:val="16"/>
          <w:szCs w:val="16"/>
        </w:rPr>
        <w:t xml:space="preserve"> </w:t>
      </w:r>
      <w:r w:rsidR="006A21E9" w:rsidRPr="00963119">
        <w:rPr>
          <w:color w:val="000000"/>
          <w:sz w:val="16"/>
          <w:szCs w:val="16"/>
        </w:rPr>
        <w:t>svojim znanjem, i</w:t>
      </w:r>
      <w:r w:rsidR="006A21E9">
        <w:rPr>
          <w:color w:val="000000"/>
          <w:sz w:val="16"/>
          <w:szCs w:val="16"/>
        </w:rPr>
        <w:t>skustvom i finansijskom moći više od</w:t>
      </w:r>
      <w:r w:rsidR="006A21E9" w:rsidRPr="00963119">
        <w:rPr>
          <w:color w:val="000000"/>
          <w:sz w:val="16"/>
          <w:szCs w:val="16"/>
        </w:rPr>
        <w:t xml:space="preserve"> 120 godina opravdava povjerenje svojih klijenata, da će se najbolje pobrinuti za njihovu sigurnost i budućnost. Ključni stubovi poslovanja su osiguranje i upravljanje imovinom. Najveća osiguravajuće-finansijska grupa u Adria regionu i jedna od vodećih u jugoistočnoj Europi posluje u šest država i na sedam tržišta, a zapošljava više od 5.000 ljudi. Grupa Triglav održava čvrstu finansijsku stabilnost, visoku adekvatnost kapitala i profitabilnost poslovanja, što potvrđuju i dobijene visoke bonitetne ocjene "A" od strane dviju priznatih bonitetnih agencija. Glavne vrijednosti Društva su odzivnost, jednostavnost i pouzdanost, a misija je stvaranje sigurnije budućnosti. Sa vizijom fokusiranosti na klijente stremi ka dinamičnom razvoju novih načina poslovanja, koji su temelj odgovornog dugoročnog razvoja, profitabilnog i sigurnog poslovanja.</w:t>
      </w:r>
    </w:p>
    <w:p w14:paraId="4353B399" w14:textId="77777777" w:rsidR="006A21E9" w:rsidRDefault="006A21E9" w:rsidP="006A21E9">
      <w:pPr>
        <w:spacing w:after="0" w:line="240" w:lineRule="auto"/>
        <w:jc w:val="both"/>
        <w:rPr>
          <w:rFonts w:cs="Calibri"/>
          <w:b/>
          <w:color w:val="000000"/>
          <w:sz w:val="16"/>
          <w:szCs w:val="16"/>
        </w:rPr>
      </w:pPr>
    </w:p>
    <w:p w14:paraId="452BAC38" w14:textId="130AC3DB" w:rsidR="00BE673F" w:rsidRPr="006A5F25" w:rsidRDefault="006A5F25" w:rsidP="00D63ACD">
      <w:pPr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27144">
        <w:rPr>
          <w:rFonts w:cs="Calibri"/>
          <w:color w:val="000000"/>
          <w:sz w:val="16"/>
          <w:szCs w:val="16"/>
        </w:rPr>
        <w:t xml:space="preserve"> </w:t>
      </w:r>
    </w:p>
    <w:sectPr w:rsidR="00BE673F" w:rsidRPr="006A5F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58B0C" w14:textId="77777777" w:rsidR="0034191F" w:rsidRDefault="0034191F" w:rsidP="00963DC7">
      <w:pPr>
        <w:spacing w:after="0" w:line="240" w:lineRule="auto"/>
      </w:pPr>
      <w:r>
        <w:separator/>
      </w:r>
    </w:p>
  </w:endnote>
  <w:endnote w:type="continuationSeparator" w:id="0">
    <w:p w14:paraId="3E293C37" w14:textId="77777777" w:rsidR="0034191F" w:rsidRDefault="0034191F" w:rsidP="0096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glav TheSans">
    <w:altName w:val="Triglav The Sans"/>
    <w:panose1 w:val="020B0500040303060204"/>
    <w:charset w:val="EE"/>
    <w:family w:val="swiss"/>
    <w:pitch w:val="variable"/>
    <w:sig w:usb0="80000027" w:usb1="5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782BA" w14:textId="77777777" w:rsidR="00F01739" w:rsidRPr="00E93DB9" w:rsidRDefault="00F01739" w:rsidP="00F01739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Više</w:t>
    </w:r>
    <w:r w:rsidRPr="00E93DB9">
      <w:rPr>
        <w:sz w:val="16"/>
        <w:szCs w:val="16"/>
      </w:rPr>
      <w:t xml:space="preserve"> informacij</w:t>
    </w:r>
    <w:r>
      <w:rPr>
        <w:sz w:val="16"/>
        <w:szCs w:val="16"/>
      </w:rPr>
      <w:t>a</w:t>
    </w:r>
    <w:r w:rsidRPr="00E93DB9">
      <w:rPr>
        <w:sz w:val="16"/>
        <w:szCs w:val="16"/>
      </w:rPr>
      <w:t xml:space="preserve">: upravljanje </w:t>
    </w:r>
    <w:r>
      <w:rPr>
        <w:sz w:val="16"/>
        <w:szCs w:val="16"/>
      </w:rPr>
      <w:t>odnosima s javnošću</w:t>
    </w:r>
    <w:r w:rsidRPr="00E93DB9">
      <w:rPr>
        <w:sz w:val="16"/>
        <w:szCs w:val="16"/>
      </w:rPr>
      <w:t>, Zavarovalnica Triglav, Miklošičeva 19, Ljubljana;</w:t>
    </w:r>
  </w:p>
  <w:p w14:paraId="778A3740" w14:textId="5A8F0098" w:rsidR="00F01739" w:rsidRPr="0076017F" w:rsidRDefault="00F01739" w:rsidP="00F01739">
    <w:pPr>
      <w:pStyle w:val="Footer"/>
      <w:jc w:val="center"/>
      <w:rPr>
        <w:sz w:val="16"/>
        <w:szCs w:val="16"/>
      </w:rPr>
    </w:pPr>
    <w:hyperlink r:id="rId1" w:history="1">
      <w:r w:rsidRPr="00E93DB9">
        <w:rPr>
          <w:rStyle w:val="Hyperlink"/>
          <w:sz w:val="16"/>
          <w:szCs w:val="16"/>
        </w:rPr>
        <w:t>pr@triglav.si</w:t>
      </w:r>
    </w:hyperlink>
    <w:r w:rsidRPr="00E93DB9">
      <w:rPr>
        <w:sz w:val="16"/>
        <w:szCs w:val="16"/>
      </w:rPr>
      <w:t xml:space="preserve">; </w:t>
    </w:r>
    <w:r>
      <w:rPr>
        <w:sz w:val="16"/>
        <w:szCs w:val="16"/>
      </w:rPr>
      <w:t>0</w:t>
    </w:r>
    <w:r w:rsidRPr="00E93DB9">
      <w:rPr>
        <w:sz w:val="16"/>
        <w:szCs w:val="16"/>
      </w:rPr>
      <w:t>0</w:t>
    </w:r>
    <w:r>
      <w:rPr>
        <w:sz w:val="16"/>
        <w:szCs w:val="16"/>
      </w:rPr>
      <w:t xml:space="preserve"> 376 </w:t>
    </w:r>
    <w:r w:rsidRPr="00E93DB9">
      <w:rPr>
        <w:sz w:val="16"/>
        <w:szCs w:val="16"/>
      </w:rPr>
      <w:t>1 47 47 109; www.triglav.eu.</w:t>
    </w:r>
  </w:p>
  <w:p w14:paraId="5386D457" w14:textId="77777777" w:rsidR="0076017F" w:rsidRDefault="00760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AD477" w14:textId="77777777" w:rsidR="0034191F" w:rsidRDefault="0034191F" w:rsidP="00963DC7">
      <w:pPr>
        <w:spacing w:after="0" w:line="240" w:lineRule="auto"/>
      </w:pPr>
      <w:r>
        <w:separator/>
      </w:r>
    </w:p>
  </w:footnote>
  <w:footnote w:type="continuationSeparator" w:id="0">
    <w:p w14:paraId="4822F821" w14:textId="77777777" w:rsidR="0034191F" w:rsidRDefault="0034191F" w:rsidP="00963DC7">
      <w:pPr>
        <w:spacing w:after="0" w:line="240" w:lineRule="auto"/>
      </w:pPr>
      <w:r>
        <w:continuationSeparator/>
      </w:r>
    </w:p>
  </w:footnote>
  <w:footnote w:id="1">
    <w:p w14:paraId="7A064A39" w14:textId="3152873C" w:rsidR="00B52152" w:rsidRPr="00B52152" w:rsidRDefault="00143491" w:rsidP="00B52152">
      <w:pPr>
        <w:rPr>
          <w:i/>
          <w:iCs/>
        </w:rPr>
      </w:pPr>
      <w:r w:rsidRPr="00143491">
        <w:rPr>
          <w:rStyle w:val="FootnoteReference"/>
          <w:i/>
          <w:iCs/>
        </w:rPr>
        <w:footnoteRef/>
      </w:r>
      <w:r w:rsidRPr="00143491">
        <w:rPr>
          <w:i/>
          <w:iCs/>
        </w:rPr>
        <w:t xml:space="preserve"> </w:t>
      </w:r>
      <w:r w:rsidR="00B52152">
        <w:rPr>
          <w:i/>
          <w:iCs/>
        </w:rPr>
        <w:t>Informacije</w:t>
      </w:r>
      <w:r w:rsidR="00B52152" w:rsidRPr="00B52152">
        <w:rPr>
          <w:i/>
          <w:iCs/>
        </w:rPr>
        <w:t xml:space="preserve"> se zasnivaju na nerevidiranim podacima o poslovanju Grupe Triglav u 2022.</w:t>
      </w:r>
      <w:r w:rsidR="00B52152">
        <w:rPr>
          <w:i/>
          <w:iCs/>
        </w:rPr>
        <w:t xml:space="preserve"> godini.</w:t>
      </w:r>
      <w:r w:rsidR="00B52152" w:rsidRPr="00B52152">
        <w:rPr>
          <w:i/>
          <w:iCs/>
        </w:rPr>
        <w:t xml:space="preserve"> Izraženi indeksi ili brojčana poređenja pokazuju poređenje u odnosu na 2021. godinu.</w:t>
      </w:r>
    </w:p>
    <w:p w14:paraId="478B88B9" w14:textId="5E5A7227" w:rsidR="00143491" w:rsidRPr="00143491" w:rsidRDefault="00143491">
      <w:pPr>
        <w:pStyle w:val="FootnoteText"/>
        <w:rPr>
          <w:i/>
          <w:iCs/>
        </w:rPr>
      </w:pPr>
    </w:p>
  </w:footnote>
  <w:footnote w:id="2">
    <w:p w14:paraId="17ADCAAB" w14:textId="624F8CAC" w:rsidR="00143491" w:rsidRPr="00143491" w:rsidRDefault="00143491" w:rsidP="00143491">
      <w:pPr>
        <w:pStyle w:val="FootnoteText"/>
        <w:rPr>
          <w:rFonts w:cstheme="minorHAnsi"/>
          <w:i/>
          <w:iCs/>
          <w:sz w:val="18"/>
          <w:szCs w:val="18"/>
        </w:rPr>
      </w:pPr>
      <w:r w:rsidRPr="00143491">
        <w:rPr>
          <w:rStyle w:val="FootnoteReference"/>
          <w:rFonts w:cstheme="minorHAnsi"/>
          <w:i/>
          <w:iCs/>
          <w:sz w:val="18"/>
          <w:szCs w:val="18"/>
        </w:rPr>
        <w:footnoteRef/>
      </w:r>
      <w:r w:rsidRPr="00143491">
        <w:rPr>
          <w:rFonts w:cstheme="minorHAnsi"/>
          <w:i/>
          <w:iCs/>
          <w:sz w:val="18"/>
          <w:szCs w:val="18"/>
        </w:rPr>
        <w:t xml:space="preserve"> Nerevidirani </w:t>
      </w:r>
      <w:r w:rsidR="00393B2D">
        <w:rPr>
          <w:rFonts w:cstheme="minorHAnsi"/>
          <w:i/>
          <w:iCs/>
          <w:sz w:val="18"/>
          <w:szCs w:val="18"/>
        </w:rPr>
        <w:t>podaci</w:t>
      </w:r>
    </w:p>
  </w:footnote>
  <w:footnote w:id="3">
    <w:p w14:paraId="0144CC74" w14:textId="44903722" w:rsidR="00143491" w:rsidRPr="00143491" w:rsidRDefault="00143491" w:rsidP="00143491">
      <w:pPr>
        <w:pStyle w:val="FootnoteText"/>
        <w:rPr>
          <w:rFonts w:cstheme="minorHAnsi"/>
          <w:i/>
          <w:iCs/>
          <w:sz w:val="18"/>
          <w:szCs w:val="18"/>
        </w:rPr>
      </w:pPr>
      <w:r w:rsidRPr="00143491">
        <w:rPr>
          <w:rStyle w:val="FootnoteReference"/>
          <w:rFonts w:cstheme="minorHAnsi"/>
          <w:i/>
          <w:iCs/>
          <w:sz w:val="18"/>
          <w:szCs w:val="18"/>
        </w:rPr>
        <w:footnoteRef/>
      </w:r>
      <w:r w:rsidRPr="00143491">
        <w:rPr>
          <w:rFonts w:cstheme="minorHAnsi"/>
          <w:i/>
          <w:iCs/>
          <w:sz w:val="18"/>
          <w:szCs w:val="18"/>
        </w:rPr>
        <w:t xml:space="preserve"> Obraču</w:t>
      </w:r>
      <w:r w:rsidR="00393B2D">
        <w:rPr>
          <w:rFonts w:cstheme="minorHAnsi"/>
          <w:i/>
          <w:iCs/>
          <w:sz w:val="18"/>
          <w:szCs w:val="18"/>
        </w:rPr>
        <w:t>nata</w:t>
      </w:r>
      <w:r w:rsidRPr="00143491">
        <w:rPr>
          <w:rFonts w:cstheme="minorHAnsi"/>
          <w:i/>
          <w:iCs/>
          <w:sz w:val="18"/>
          <w:szCs w:val="18"/>
        </w:rPr>
        <w:t xml:space="preserve"> </w:t>
      </w:r>
      <w:r w:rsidR="00393B2D">
        <w:rPr>
          <w:rFonts w:cstheme="minorHAnsi"/>
          <w:i/>
          <w:iCs/>
          <w:sz w:val="18"/>
          <w:szCs w:val="18"/>
        </w:rPr>
        <w:t>bruto premija</w:t>
      </w:r>
      <w:r w:rsidRPr="00143491">
        <w:rPr>
          <w:rFonts w:cstheme="minorHAnsi"/>
          <w:i/>
          <w:iCs/>
          <w:sz w:val="18"/>
          <w:szCs w:val="18"/>
        </w:rPr>
        <w:t xml:space="preserve"> </w:t>
      </w:r>
      <w:r w:rsidR="00393B2D">
        <w:rPr>
          <w:rFonts w:cstheme="minorHAnsi"/>
          <w:i/>
          <w:iCs/>
          <w:sz w:val="18"/>
          <w:szCs w:val="18"/>
        </w:rPr>
        <w:t>osiguranja</w:t>
      </w:r>
      <w:r w:rsidRPr="00143491">
        <w:rPr>
          <w:rFonts w:cstheme="minorHAnsi"/>
          <w:i/>
          <w:iCs/>
          <w:sz w:val="18"/>
          <w:szCs w:val="18"/>
        </w:rPr>
        <w:t>, s</w:t>
      </w:r>
      <w:r w:rsidR="00393B2D">
        <w:rPr>
          <w:rFonts w:cstheme="minorHAnsi"/>
          <w:i/>
          <w:iCs/>
          <w:sz w:val="18"/>
          <w:szCs w:val="18"/>
        </w:rPr>
        <w:t>suosiguranja i reosiguranja</w:t>
      </w:r>
      <w:r w:rsidRPr="00143491">
        <w:rPr>
          <w:rFonts w:cstheme="minorHAnsi"/>
          <w:i/>
          <w:iCs/>
          <w:sz w:val="18"/>
          <w:szCs w:val="18"/>
        </w:rPr>
        <w:t xml:space="preserve"> </w:t>
      </w:r>
    </w:p>
  </w:footnote>
  <w:footnote w:id="4">
    <w:p w14:paraId="476438CF" w14:textId="26617CBE" w:rsidR="00143491" w:rsidRPr="00143491" w:rsidRDefault="00143491" w:rsidP="00143491">
      <w:pPr>
        <w:pStyle w:val="FootnoteText"/>
        <w:rPr>
          <w:rFonts w:cstheme="minorHAnsi"/>
          <w:i/>
          <w:iCs/>
          <w:sz w:val="18"/>
          <w:szCs w:val="18"/>
        </w:rPr>
      </w:pPr>
      <w:r w:rsidRPr="00143491">
        <w:rPr>
          <w:rStyle w:val="FootnoteReference"/>
          <w:rFonts w:cstheme="minorHAnsi"/>
          <w:i/>
          <w:iCs/>
          <w:sz w:val="18"/>
          <w:szCs w:val="18"/>
        </w:rPr>
        <w:footnoteRef/>
      </w:r>
      <w:r w:rsidRPr="00143491">
        <w:rPr>
          <w:rFonts w:cstheme="minorHAnsi"/>
          <w:i/>
          <w:iCs/>
          <w:sz w:val="18"/>
          <w:szCs w:val="18"/>
        </w:rPr>
        <w:t xml:space="preserve"> Na zadnji dan </w:t>
      </w:r>
      <w:r w:rsidR="00393B2D">
        <w:rPr>
          <w:rFonts w:cstheme="minorHAnsi"/>
          <w:i/>
          <w:iCs/>
          <w:sz w:val="18"/>
          <w:szCs w:val="18"/>
        </w:rPr>
        <w:t>godine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3958"/>
    <w:multiLevelType w:val="hybridMultilevel"/>
    <w:tmpl w:val="5B600D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B0848"/>
    <w:multiLevelType w:val="multilevel"/>
    <w:tmpl w:val="72348F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656B64"/>
    <w:multiLevelType w:val="multilevel"/>
    <w:tmpl w:val="CE9E00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3695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4406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2FB0B23"/>
    <w:multiLevelType w:val="hybridMultilevel"/>
    <w:tmpl w:val="F034C1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E6AFD"/>
    <w:multiLevelType w:val="hybridMultilevel"/>
    <w:tmpl w:val="740A26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59"/>
    <w:rsid w:val="000042CF"/>
    <w:rsid w:val="000160C9"/>
    <w:rsid w:val="00026AFF"/>
    <w:rsid w:val="00034FC6"/>
    <w:rsid w:val="000350EF"/>
    <w:rsid w:val="00060352"/>
    <w:rsid w:val="000603B4"/>
    <w:rsid w:val="0006300E"/>
    <w:rsid w:val="000733FF"/>
    <w:rsid w:val="00080A07"/>
    <w:rsid w:val="000839D4"/>
    <w:rsid w:val="000B618B"/>
    <w:rsid w:val="000B65BC"/>
    <w:rsid w:val="000B7934"/>
    <w:rsid w:val="000C2602"/>
    <w:rsid w:val="000C3AF2"/>
    <w:rsid w:val="000D1B62"/>
    <w:rsid w:val="000E642E"/>
    <w:rsid w:val="000F2278"/>
    <w:rsid w:val="000F684E"/>
    <w:rsid w:val="00101E22"/>
    <w:rsid w:val="0010331B"/>
    <w:rsid w:val="001052D2"/>
    <w:rsid w:val="001106E0"/>
    <w:rsid w:val="00112833"/>
    <w:rsid w:val="001334AA"/>
    <w:rsid w:val="00137598"/>
    <w:rsid w:val="00143491"/>
    <w:rsid w:val="001601C0"/>
    <w:rsid w:val="001736F3"/>
    <w:rsid w:val="00180333"/>
    <w:rsid w:val="001B68B9"/>
    <w:rsid w:val="001D1888"/>
    <w:rsid w:val="001D2713"/>
    <w:rsid w:val="001D420C"/>
    <w:rsid w:val="001D547E"/>
    <w:rsid w:val="001E59DE"/>
    <w:rsid w:val="001F077F"/>
    <w:rsid w:val="001F1F16"/>
    <w:rsid w:val="001F5985"/>
    <w:rsid w:val="0021115D"/>
    <w:rsid w:val="00221E2D"/>
    <w:rsid w:val="00232EF8"/>
    <w:rsid w:val="00234A96"/>
    <w:rsid w:val="00250F1F"/>
    <w:rsid w:val="00264415"/>
    <w:rsid w:val="00297265"/>
    <w:rsid w:val="002B5B07"/>
    <w:rsid w:val="002C3D70"/>
    <w:rsid w:val="002E0820"/>
    <w:rsid w:val="002E1AD4"/>
    <w:rsid w:val="002E7964"/>
    <w:rsid w:val="002F100B"/>
    <w:rsid w:val="00302E66"/>
    <w:rsid w:val="00303393"/>
    <w:rsid w:val="003173AB"/>
    <w:rsid w:val="00327085"/>
    <w:rsid w:val="00334F2A"/>
    <w:rsid w:val="0033729E"/>
    <w:rsid w:val="00337AFB"/>
    <w:rsid w:val="00337FED"/>
    <w:rsid w:val="0034191F"/>
    <w:rsid w:val="003433DF"/>
    <w:rsid w:val="003450CE"/>
    <w:rsid w:val="00346148"/>
    <w:rsid w:val="00355A34"/>
    <w:rsid w:val="00360D13"/>
    <w:rsid w:val="00370398"/>
    <w:rsid w:val="00370426"/>
    <w:rsid w:val="00380A02"/>
    <w:rsid w:val="00393B2D"/>
    <w:rsid w:val="003A68DE"/>
    <w:rsid w:val="003B0E0B"/>
    <w:rsid w:val="003B2680"/>
    <w:rsid w:val="003B7EF3"/>
    <w:rsid w:val="003E634A"/>
    <w:rsid w:val="003E70FE"/>
    <w:rsid w:val="00403049"/>
    <w:rsid w:val="00406BCB"/>
    <w:rsid w:val="004110CE"/>
    <w:rsid w:val="00431339"/>
    <w:rsid w:val="00435A87"/>
    <w:rsid w:val="00445C79"/>
    <w:rsid w:val="00453B1E"/>
    <w:rsid w:val="004562AB"/>
    <w:rsid w:val="004674DD"/>
    <w:rsid w:val="004773E7"/>
    <w:rsid w:val="00487FEA"/>
    <w:rsid w:val="004915E2"/>
    <w:rsid w:val="00497BCD"/>
    <w:rsid w:val="004D6142"/>
    <w:rsid w:val="004F46C0"/>
    <w:rsid w:val="0050261A"/>
    <w:rsid w:val="00506E69"/>
    <w:rsid w:val="00507087"/>
    <w:rsid w:val="00510F4B"/>
    <w:rsid w:val="0051316F"/>
    <w:rsid w:val="00513A35"/>
    <w:rsid w:val="005143D1"/>
    <w:rsid w:val="00520137"/>
    <w:rsid w:val="00534405"/>
    <w:rsid w:val="00536C9E"/>
    <w:rsid w:val="005477E7"/>
    <w:rsid w:val="0056244E"/>
    <w:rsid w:val="00587133"/>
    <w:rsid w:val="005A2CBA"/>
    <w:rsid w:val="005B126B"/>
    <w:rsid w:val="005C4C27"/>
    <w:rsid w:val="005E54AA"/>
    <w:rsid w:val="005F3440"/>
    <w:rsid w:val="00601D8F"/>
    <w:rsid w:val="00605FD0"/>
    <w:rsid w:val="00623DDB"/>
    <w:rsid w:val="00626C18"/>
    <w:rsid w:val="006370DF"/>
    <w:rsid w:val="00645DB3"/>
    <w:rsid w:val="00651EAD"/>
    <w:rsid w:val="00657430"/>
    <w:rsid w:val="006579C6"/>
    <w:rsid w:val="0066319E"/>
    <w:rsid w:val="0067222A"/>
    <w:rsid w:val="00685DDC"/>
    <w:rsid w:val="006A0106"/>
    <w:rsid w:val="006A21E9"/>
    <w:rsid w:val="006A5F25"/>
    <w:rsid w:val="006B1C42"/>
    <w:rsid w:val="006B4D41"/>
    <w:rsid w:val="006C0491"/>
    <w:rsid w:val="006C0E61"/>
    <w:rsid w:val="006D0514"/>
    <w:rsid w:val="006E6CC6"/>
    <w:rsid w:val="006F297D"/>
    <w:rsid w:val="006F5F78"/>
    <w:rsid w:val="007469BA"/>
    <w:rsid w:val="0076017F"/>
    <w:rsid w:val="007627C4"/>
    <w:rsid w:val="00763BFB"/>
    <w:rsid w:val="007C2B54"/>
    <w:rsid w:val="00804C5B"/>
    <w:rsid w:val="00815A44"/>
    <w:rsid w:val="00822A0A"/>
    <w:rsid w:val="008325F4"/>
    <w:rsid w:val="0084340C"/>
    <w:rsid w:val="00852148"/>
    <w:rsid w:val="00852D83"/>
    <w:rsid w:val="0085376F"/>
    <w:rsid w:val="00854911"/>
    <w:rsid w:val="0085624A"/>
    <w:rsid w:val="00865093"/>
    <w:rsid w:val="008667D7"/>
    <w:rsid w:val="00870E37"/>
    <w:rsid w:val="00873453"/>
    <w:rsid w:val="008738D5"/>
    <w:rsid w:val="00873EF2"/>
    <w:rsid w:val="008965AD"/>
    <w:rsid w:val="008A656F"/>
    <w:rsid w:val="008D6B88"/>
    <w:rsid w:val="008E2E7B"/>
    <w:rsid w:val="008E5637"/>
    <w:rsid w:val="008F7304"/>
    <w:rsid w:val="009215F9"/>
    <w:rsid w:val="00926384"/>
    <w:rsid w:val="00927B3C"/>
    <w:rsid w:val="0093218E"/>
    <w:rsid w:val="009437DD"/>
    <w:rsid w:val="009561E0"/>
    <w:rsid w:val="00960182"/>
    <w:rsid w:val="00963DC7"/>
    <w:rsid w:val="009703D8"/>
    <w:rsid w:val="009A26BB"/>
    <w:rsid w:val="009C43B6"/>
    <w:rsid w:val="009C6D88"/>
    <w:rsid w:val="009F0AE4"/>
    <w:rsid w:val="009F31EA"/>
    <w:rsid w:val="009F6776"/>
    <w:rsid w:val="00A03604"/>
    <w:rsid w:val="00A03726"/>
    <w:rsid w:val="00A22427"/>
    <w:rsid w:val="00A25A0D"/>
    <w:rsid w:val="00A26751"/>
    <w:rsid w:val="00A30097"/>
    <w:rsid w:val="00A32FB1"/>
    <w:rsid w:val="00A442DB"/>
    <w:rsid w:val="00A70CF2"/>
    <w:rsid w:val="00A75E80"/>
    <w:rsid w:val="00A766F7"/>
    <w:rsid w:val="00A90DB5"/>
    <w:rsid w:val="00A94696"/>
    <w:rsid w:val="00AA4827"/>
    <w:rsid w:val="00AB2F59"/>
    <w:rsid w:val="00AB3EC1"/>
    <w:rsid w:val="00AB6DDD"/>
    <w:rsid w:val="00AC2E0A"/>
    <w:rsid w:val="00AC6359"/>
    <w:rsid w:val="00AC65E1"/>
    <w:rsid w:val="00B255D9"/>
    <w:rsid w:val="00B26852"/>
    <w:rsid w:val="00B3060A"/>
    <w:rsid w:val="00B44CE9"/>
    <w:rsid w:val="00B52152"/>
    <w:rsid w:val="00B54BAB"/>
    <w:rsid w:val="00B57827"/>
    <w:rsid w:val="00B6565D"/>
    <w:rsid w:val="00B6787D"/>
    <w:rsid w:val="00B81499"/>
    <w:rsid w:val="00B83394"/>
    <w:rsid w:val="00BA1F0B"/>
    <w:rsid w:val="00BA4A07"/>
    <w:rsid w:val="00BA784E"/>
    <w:rsid w:val="00BB20A0"/>
    <w:rsid w:val="00BB6D86"/>
    <w:rsid w:val="00BD4106"/>
    <w:rsid w:val="00BE47DD"/>
    <w:rsid w:val="00BE673F"/>
    <w:rsid w:val="00C06F51"/>
    <w:rsid w:val="00C1127A"/>
    <w:rsid w:val="00C12A9F"/>
    <w:rsid w:val="00C4147F"/>
    <w:rsid w:val="00C64678"/>
    <w:rsid w:val="00CA5513"/>
    <w:rsid w:val="00CB1A6B"/>
    <w:rsid w:val="00CB64E8"/>
    <w:rsid w:val="00CB6AEB"/>
    <w:rsid w:val="00CC52CE"/>
    <w:rsid w:val="00CD3481"/>
    <w:rsid w:val="00CF2944"/>
    <w:rsid w:val="00D05B00"/>
    <w:rsid w:val="00D30AFB"/>
    <w:rsid w:val="00D42922"/>
    <w:rsid w:val="00D4497E"/>
    <w:rsid w:val="00D56680"/>
    <w:rsid w:val="00D63ACD"/>
    <w:rsid w:val="00D75F69"/>
    <w:rsid w:val="00DB2D0D"/>
    <w:rsid w:val="00DC1A1D"/>
    <w:rsid w:val="00DD0B99"/>
    <w:rsid w:val="00DD31C9"/>
    <w:rsid w:val="00DD4AA8"/>
    <w:rsid w:val="00DE32F1"/>
    <w:rsid w:val="00DF1AD4"/>
    <w:rsid w:val="00DF5E79"/>
    <w:rsid w:val="00E135EF"/>
    <w:rsid w:val="00E20012"/>
    <w:rsid w:val="00E23B65"/>
    <w:rsid w:val="00E243F7"/>
    <w:rsid w:val="00E31268"/>
    <w:rsid w:val="00E53CF4"/>
    <w:rsid w:val="00E73BA6"/>
    <w:rsid w:val="00E91EA3"/>
    <w:rsid w:val="00EB3D89"/>
    <w:rsid w:val="00EC42A5"/>
    <w:rsid w:val="00ED157D"/>
    <w:rsid w:val="00ED209E"/>
    <w:rsid w:val="00EE63E8"/>
    <w:rsid w:val="00F01739"/>
    <w:rsid w:val="00F176B6"/>
    <w:rsid w:val="00F25B8B"/>
    <w:rsid w:val="00F45166"/>
    <w:rsid w:val="00F6332E"/>
    <w:rsid w:val="00F92179"/>
    <w:rsid w:val="00FB348A"/>
    <w:rsid w:val="00FC0BC8"/>
    <w:rsid w:val="00FC1910"/>
    <w:rsid w:val="00FE0ABC"/>
    <w:rsid w:val="00FE2288"/>
    <w:rsid w:val="00FE38AA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8637B"/>
  <w15:chartTrackingRefBased/>
  <w15:docId w15:val="{A34643B1-9D98-47CB-BFB5-F736DA55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52"/>
  </w:style>
  <w:style w:type="paragraph" w:styleId="Heading1">
    <w:name w:val="heading 1"/>
    <w:basedOn w:val="Normal"/>
    <w:next w:val="Normal"/>
    <w:link w:val="Heading1Char"/>
    <w:uiPriority w:val="99"/>
    <w:qFormat/>
    <w:rsid w:val="00D63ACD"/>
    <w:pPr>
      <w:keepNext/>
      <w:numPr>
        <w:numId w:val="4"/>
      </w:numPr>
      <w:spacing w:after="60" w:line="240" w:lineRule="auto"/>
      <w:ind w:left="567" w:hanging="567"/>
      <w:outlineLvl w:val="0"/>
    </w:pPr>
    <w:rPr>
      <w:rFonts w:ascii="Triglav TheSans" w:eastAsia="Times New Roman" w:hAnsi="Triglav TheSans" w:cs="Times New Roman"/>
      <w:b/>
      <w:kern w:val="28"/>
      <w:sz w:val="28"/>
      <w:szCs w:val="24"/>
      <w:lang w:eastAsia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ACD"/>
    <w:pPr>
      <w:keepNext/>
      <w:numPr>
        <w:ilvl w:val="1"/>
        <w:numId w:val="4"/>
      </w:numPr>
      <w:spacing w:before="480" w:after="0" w:line="240" w:lineRule="auto"/>
      <w:ind w:left="567" w:hanging="567"/>
      <w:outlineLvl w:val="1"/>
    </w:pPr>
    <w:rPr>
      <w:rFonts w:ascii="Triglav TheSans" w:eastAsia="Times New Roman" w:hAnsi="Triglav TheSans" w:cs="Times New Roman"/>
      <w:b/>
      <w:bCs/>
      <w:iCs/>
      <w:szCs w:val="28"/>
      <w:lang w:eastAsia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ACD"/>
    <w:pPr>
      <w:keepNext/>
      <w:numPr>
        <w:ilvl w:val="2"/>
        <w:numId w:val="4"/>
      </w:numPr>
      <w:spacing w:before="360" w:after="0" w:line="240" w:lineRule="auto"/>
      <w:ind w:left="709" w:hanging="709"/>
      <w:outlineLvl w:val="2"/>
    </w:pPr>
    <w:rPr>
      <w:rFonts w:ascii="Triglav TheSans" w:eastAsia="Times New Roman" w:hAnsi="Triglav TheSans" w:cs="Times New Roman"/>
      <w:b/>
      <w:bCs/>
      <w:szCs w:val="26"/>
      <w:lang w:eastAsia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ACD"/>
    <w:pPr>
      <w:keepNext/>
      <w:numPr>
        <w:ilvl w:val="3"/>
        <w:numId w:val="4"/>
      </w:numPr>
      <w:spacing w:before="300" w:after="0" w:line="240" w:lineRule="auto"/>
      <w:outlineLvl w:val="3"/>
    </w:pPr>
    <w:rPr>
      <w:rFonts w:ascii="Triglav TheSans" w:eastAsia="Times New Roman" w:hAnsi="Triglav TheSans" w:cs="Times New Roman"/>
      <w:b/>
      <w:bCs/>
      <w:i/>
      <w:szCs w:val="28"/>
      <w:lang w:eastAsia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ACD"/>
    <w:pPr>
      <w:numPr>
        <w:ilvl w:val="4"/>
        <w:numId w:val="4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4"/>
      <w:lang w:eastAsia="sl-S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3ACD"/>
    <w:pPr>
      <w:numPr>
        <w:ilvl w:val="5"/>
        <w:numId w:val="4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4"/>
      <w:lang w:eastAsia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3ACD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3ACD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4"/>
      <w:szCs w:val="24"/>
      <w:lang w:eastAsia="sl-S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3ACD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5B07"/>
    <w:rPr>
      <w:sz w:val="16"/>
      <w:szCs w:val="16"/>
    </w:rPr>
  </w:style>
  <w:style w:type="paragraph" w:styleId="CommentText">
    <w:name w:val="annotation text"/>
    <w:aliases w:val="Komentar - besedilo"/>
    <w:basedOn w:val="Normal"/>
    <w:link w:val="CommentTextChar"/>
    <w:uiPriority w:val="99"/>
    <w:unhideWhenUsed/>
    <w:rsid w:val="002B5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Komentar - besedilo Char"/>
    <w:basedOn w:val="DefaultParagraphFont"/>
    <w:link w:val="CommentText"/>
    <w:uiPriority w:val="99"/>
    <w:rsid w:val="002B5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B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07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Tabela - prazna vrstica"/>
    <w:basedOn w:val="Normal"/>
    <w:link w:val="ListParagraphChar"/>
    <w:uiPriority w:val="34"/>
    <w:qFormat/>
    <w:rsid w:val="00605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5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C7"/>
  </w:style>
  <w:style w:type="paragraph" w:styleId="Footer">
    <w:name w:val="footer"/>
    <w:basedOn w:val="Normal"/>
    <w:link w:val="FooterChar"/>
    <w:uiPriority w:val="99"/>
    <w:unhideWhenUsed/>
    <w:rsid w:val="0096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C7"/>
  </w:style>
  <w:style w:type="paragraph" w:styleId="Revision">
    <w:name w:val="Revision"/>
    <w:hidden/>
    <w:uiPriority w:val="99"/>
    <w:semiHidden/>
    <w:rsid w:val="00A03726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1E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0C26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6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C260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673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D63ACD"/>
    <w:rPr>
      <w:rFonts w:ascii="Triglav TheSans" w:eastAsia="Times New Roman" w:hAnsi="Triglav TheSans" w:cs="Times New Roman"/>
      <w:b/>
      <w:kern w:val="28"/>
      <w:sz w:val="28"/>
      <w:szCs w:val="24"/>
      <w:lang w:eastAsia="sl-SI"/>
    </w:rPr>
  </w:style>
  <w:style w:type="character" w:customStyle="1" w:styleId="Naslov2Znak">
    <w:name w:val="Naslov 2 Znak"/>
    <w:basedOn w:val="DefaultParagraphFont"/>
    <w:uiPriority w:val="9"/>
    <w:semiHidden/>
    <w:rsid w:val="00D63A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63ACD"/>
    <w:rPr>
      <w:rFonts w:ascii="Triglav TheSans" w:eastAsia="Times New Roman" w:hAnsi="Triglav TheSans" w:cs="Times New Roman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uiPriority w:val="99"/>
    <w:rsid w:val="00D63ACD"/>
    <w:rPr>
      <w:rFonts w:ascii="Triglav TheSans" w:eastAsia="Times New Roman" w:hAnsi="Triglav TheSans" w:cs="Times New Roman"/>
      <w:b/>
      <w:bCs/>
      <w:i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uiPriority w:val="99"/>
    <w:rsid w:val="00D63ACD"/>
    <w:rPr>
      <w:rFonts w:ascii="Arial" w:eastAsia="Times New Roman" w:hAnsi="Arial" w:cs="Times New Roman"/>
      <w:szCs w:val="24"/>
      <w:lang w:eastAsia="sl-SI"/>
    </w:rPr>
  </w:style>
  <w:style w:type="character" w:customStyle="1" w:styleId="Heading6Char">
    <w:name w:val="Heading 6 Char"/>
    <w:basedOn w:val="DefaultParagraphFont"/>
    <w:link w:val="Heading6"/>
    <w:uiPriority w:val="99"/>
    <w:rsid w:val="00D63ACD"/>
    <w:rPr>
      <w:rFonts w:ascii="Arial" w:eastAsia="Times New Roman" w:hAnsi="Arial" w:cs="Times New Roman"/>
      <w:i/>
      <w:szCs w:val="24"/>
      <w:lang w:eastAsia="sl-SI"/>
    </w:rPr>
  </w:style>
  <w:style w:type="character" w:customStyle="1" w:styleId="Heading7Char">
    <w:name w:val="Heading 7 Char"/>
    <w:basedOn w:val="DefaultParagraphFont"/>
    <w:link w:val="Heading7"/>
    <w:uiPriority w:val="99"/>
    <w:rsid w:val="00D63ACD"/>
    <w:rPr>
      <w:rFonts w:ascii="Arial" w:eastAsia="Times New Roman" w:hAnsi="Arial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uiPriority w:val="99"/>
    <w:rsid w:val="00D63ACD"/>
    <w:rPr>
      <w:rFonts w:ascii="Arial" w:eastAsia="Times New Roman" w:hAnsi="Arial" w:cs="Times New Roman"/>
      <w:i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uiPriority w:val="99"/>
    <w:rsid w:val="00D63ACD"/>
    <w:rPr>
      <w:rFonts w:ascii="Arial" w:eastAsia="Times New Roman" w:hAnsi="Arial" w:cs="Times New Roman"/>
      <w:i/>
      <w:sz w:val="18"/>
      <w:szCs w:val="24"/>
      <w:lang w:eastAsia="sl-SI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3ACD"/>
    <w:rPr>
      <w:rFonts w:ascii="Triglav TheSans" w:eastAsia="Times New Roman" w:hAnsi="Triglav TheSans" w:cs="Times New Roman"/>
      <w:b/>
      <w:bCs/>
      <w:iCs/>
      <w:szCs w:val="28"/>
      <w:lang w:eastAsia="sl-SI"/>
    </w:rPr>
  </w:style>
  <w:style w:type="character" w:customStyle="1" w:styleId="Sprotnaopomba-besediloZnak1">
    <w:name w:val="Sprotna opomba - besedilo Znak1"/>
    <w:basedOn w:val="DefaultParagraphFont"/>
    <w:uiPriority w:val="99"/>
    <w:locked/>
    <w:rsid w:val="00D63AC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istParagraphChar">
    <w:name w:val="List Paragraph Char"/>
    <w:aliases w:val="Tabela - prazna vrstica Char"/>
    <w:link w:val="ListParagraph"/>
    <w:uiPriority w:val="34"/>
    <w:locked/>
    <w:rsid w:val="00D63ACD"/>
  </w:style>
  <w:style w:type="paragraph" w:customStyle="1" w:styleId="xmsonormal">
    <w:name w:val="x_msonormal"/>
    <w:basedOn w:val="Normal"/>
    <w:rsid w:val="00685DDC"/>
    <w:pPr>
      <w:spacing w:after="0" w:line="240" w:lineRule="auto"/>
    </w:pPr>
    <w:rPr>
      <w:rFonts w:ascii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riglav.eu/s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glav.s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trigla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B386CA-EE08-441D-A482-D6EFB663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1897</Words>
  <Characters>10815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Raičković</dc:creator>
  <cp:keywords/>
  <dc:description/>
  <cp:lastModifiedBy>Alma Delic</cp:lastModifiedBy>
  <cp:revision>3</cp:revision>
  <cp:lastPrinted>2018-04-26T11:38:00Z</cp:lastPrinted>
  <dcterms:created xsi:type="dcterms:W3CDTF">2023-03-08T11:29:00Z</dcterms:created>
  <dcterms:modified xsi:type="dcterms:W3CDTF">2023-03-08T11:30:00Z</dcterms:modified>
</cp:coreProperties>
</file>